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801—10.55</w:t>
      </w:r>
      <w:r>
        <w:rPr>
          <w:rFonts w:ascii="Times New Roman" w:hAnsi="Times New Roman"/>
          <w:b/>
          <w:i w:val="false"/>
          <w:color w:val="000000"/>
          <w:sz w:val="22"/>
        </w:rPr>
        <w:t xml:space="preserve">(35D) </w:t>
      </w:r>
      <w:r>
        <w:rPr>
          <w:rFonts w:ascii="Times New Roman" w:hAnsi="Times New Roman"/>
          <w:b/>
          <w:i w:val="false"/>
          <w:color w:val="000000"/>
          <w:sz w:val="22"/>
        </w:rPr>
        <w:t xml:space="preserve">Use of grounds and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val="false"/>
          <w:color w:val="000000"/>
          <w:sz w:val="22"/>
        </w:rPr>
        <w:t>Persons wishing to use the facilities and grounds for civic purposes, programs for members, meetings, and similar purposes, must contact the commandant or designee at least two weeks in advance of the requested date. The commandant or designee may disapprove a request when the requested facilities are scheduled for use by or for the members, or when the activity would disrupt the normal operation of IVH. Previous arrangements to use the facilities or grounds may be canceled by the commandant or designee in the event of an emergency or when changes in the schedule require the use of the facilities or grounds for the members. Persons who use the facilities or grounds shall be held responsible for leaving the facilities or grounds in satisfactory condition and for any damages caused by or resulting from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val="false"/>
          <w:color w:val="000000"/>
          <w:sz w:val="22"/>
        </w:rPr>
        <w:t>Outside organizations permitted to use facilities or grounds shall observe the same rules as visitors to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see Delay note at end of chapter]</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