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801—10.54</w:t>
      </w:r>
      <w:r>
        <w:rPr>
          <w:rFonts w:ascii="Times New Roman" w:hAnsi="Times New Roman"/>
          <w:b/>
          <w:i w:val="false"/>
          <w:color w:val="000000"/>
          <w:sz w:val="22"/>
        </w:rPr>
        <w:t xml:space="preserve">(35D) </w:t>
      </w:r>
      <w:r>
        <w:rPr>
          <w:rFonts w:ascii="Times New Roman" w:hAnsi="Times New Roman"/>
          <w:b/>
          <w:i w:val="false"/>
          <w:color w:val="000000"/>
          <w:sz w:val="22"/>
        </w:rPr>
        <w:t xml:space="preserve">Photographing and recording of members and use of cameras.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val="false"/>
          <w:color w:val="000000"/>
          <w:sz w:val="22"/>
        </w:rPr>
        <w:t>Photographs and recordings of members within IVH by news media or other outside groups are permitted only with prior consent of the member to be photographed or recorded, or the member’s legal representative. At the request of the person or group who wishes to make photographs or recordings, the commandant or designee shall seek to obtain the required consent from the member or the member’s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val="false"/>
          <w:color w:val="000000"/>
          <w:sz w:val="22"/>
        </w:rPr>
        <w:t>Every effort shall be made to preserve the inherent dignity of the member and to preclude exploitation or embarrassment of the member or the family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