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801—10.52</w:t>
      </w:r>
      <w:r>
        <w:rPr>
          <w:rFonts w:ascii="Times New Roman" w:hAnsi="Times New Roman"/>
          <w:b/>
          <w:i w:val="false"/>
          <w:color w:val="000000"/>
          <w:sz w:val="22"/>
        </w:rPr>
        <w:t xml:space="preserve">(35D) </w:t>
      </w:r>
      <w:r>
        <w:rPr>
          <w:rFonts w:ascii="Times New Roman" w:hAnsi="Times New Roman"/>
          <w:b/>
          <w:i w:val="false"/>
          <w:color w:val="000000"/>
          <w:sz w:val="22"/>
        </w:rPr>
        <w:t xml:space="preserve">Interviews and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w:t>
      </w:r>
      <w:r>
        <w:rPr>
          <w:rFonts w:ascii="Times New Roman" w:hAnsi="Times New Roman"/>
          <w:b w:val="false"/>
          <w:i w:val="false"/>
          <w:color w:val="000000"/>
          <w:sz w:val="22"/>
        </w:rPr>
        <w:t> </w:t>
      </w:r>
      <w:r>
        <w:rPr>
          <w:rFonts w:ascii="Times New Roman" w:hAnsi="Times New Roman"/>
          <w:b w:val="false"/>
          <w:i w:val="false"/>
          <w:color w:val="000000"/>
          <w:sz w:val="22"/>
        </w:rPr>
        <w:t>Releases to the news media shall be the responsibility of the commandant or designee. Authority for dissemination and release of information shall be designated to other persons at the discretion of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w:t>
      </w:r>
      <w:r>
        <w:rPr>
          <w:rFonts w:ascii="Times New Roman" w:hAnsi="Times New Roman"/>
          <w:b w:val="false"/>
          <w:i w:val="false"/>
          <w:color w:val="000000"/>
          <w:sz w:val="22"/>
        </w:rPr>
        <w:t> </w:t>
      </w:r>
      <w:r>
        <w:rPr>
          <w:rFonts w:ascii="Times New Roman" w:hAnsi="Times New Roman"/>
          <w:b w:val="false"/>
          <w:i w:val="false"/>
          <w:color w:val="000000"/>
          <w:sz w:val="22"/>
        </w:rPr>
        <w:t>Interviews of members within IVH by the news media or other outside groups are permitted only with prior consent of the member to be interviewed or the member’s legal representative. At the request of the person or group who wishes to conduct an interview, the commandant or designee shall seek to obtain the required consent from the member or the member’s legal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see Delay note at end of chapter]</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