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801—10.47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Involuntary discharge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member appeals an involuntary discharge, the following provisions shall apply: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member shall file the appeal with the commission within 5 calendar days of receipt of the discharge notice.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shall conduct a contested case proceeding in accordance with the uniform rules on contested case proceedings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rules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adopted by reference with the following amendment: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must be a member of the commission and cannot be an administrative law judge with the department of inspections, appeals, and licensing.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shall render a decision on the appeal and notify the member of the decision in writing within 10 calendar days of the filing of the appeal.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member is not satisfied with the decision of the commission, the member may appeal the commission’s decision by filing an appeal with the department of inspections and appeals within 5 calendar days of being notified in writing of the commission’s decision.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of inspections and appeals shall render a decision on the appeal of the commission’s decision and notify the member of the decision in writing within 15 calendar days of the filing of the appeal with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maximum time period that shall elapse between receipt by the member of the discharge notice and actual discharge shall not exceed 55 days which includes the 30-day discharge notice period and any time during which any appeals to the commission or the department of inspections and appeals are pending.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10.47(7)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 member is not satisfied with the decision of the department of inspections and appeals, the member may seek judicial review in accordance with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 member’s discharge under 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801—10.43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(35D) shall not be stayed while judicial review is pending.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8014B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7/29/09, effective 7/10/09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8417B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12/30/09, effective 2/3/10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8635B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3/24/10, effective 4/28/10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ac/rule/801.10.43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