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801—10.45</w:t>
      </w:r>
      <w:r>
        <w:rPr>
          <w:rFonts w:ascii="Times New Roman" w:hAnsi="Times New Roman"/>
          <w:b/>
          <w:i w:val="false"/>
          <w:color w:val="000000"/>
          <w:sz w:val="22"/>
        </w:rPr>
        <w:t xml:space="preserve">(35A,35D) </w:t>
      </w:r>
      <w:r>
        <w:rPr>
          <w:rFonts w:ascii="Times New Roman" w:hAnsi="Times New Roman"/>
          <w:b/>
          <w:i w:val="false"/>
          <w:color w:val="000000"/>
          <w:sz w:val="22"/>
        </w:rPr>
        <w:t xml:space="preserve">Applicant appeal process. </w:t>
      </w:r>
      <w:r>
        <w:rPr>
          <w:rFonts w:ascii="Times New Roman" w:hAnsi="Times New Roman"/>
          <w:b w:val="false"/>
          <w:i w:val="false"/>
          <w:color w:val="000000"/>
          <w:sz w:val="22"/>
        </w:rPr>
        <w:t xml:space="preserve">An applicant who believes that any of the provisions of this chapter have not been upheld, or have been upheld unfairly, may file an appeal directly with the commandant or designee containing a statement of the grievance and requested action. The commandant or designee shall investigate and may hold an informal hearing with the applicant and other involved individuals. Subrules </w:t>
      </w:r>
      <w:hyperlink r:id="rId4">
        <w:r>
          <w:rPr>
            <w:rStyle w:val="Hyperlink"/>
            <w:rFonts w:ascii="Times New Roman" w:hAnsi="Times New Roman"/>
            <w:b w:val="false"/>
            <w:i w:val="false"/>
            <w:color w:val="000000"/>
            <w:sz w:val="22"/>
          </w:rPr>
          <w:t>10.46(4)</w:t>
        </w:r>
      </w:hyperlink>
      <w:r>
        <w:rPr>
          <w:rFonts w:ascii="Times New Roman" w:hAnsi="Times New Roman"/>
          <w:b w:val="false"/>
          <w:i w:val="false"/>
          <w:color w:val="000000"/>
          <w:sz w:val="22"/>
        </w:rPr>
        <w:t xml:space="preserve"> to </w:t>
      </w:r>
      <w:hyperlink r:id="rId5">
        <w:r>
          <w:rPr>
            <w:rStyle w:val="Hyperlink"/>
            <w:rFonts w:ascii="Times New Roman" w:hAnsi="Times New Roman"/>
            <w:b w:val="false"/>
            <w:i w:val="false"/>
            <w:color w:val="000000"/>
            <w:sz w:val="22"/>
          </w:rPr>
          <w:t>10.46(8)</w:t>
        </w:r>
      </w:hyperlink>
      <w:r>
        <w:rPr>
          <w:rFonts w:ascii="Times New Roman" w:hAnsi="Times New Roman"/>
          <w:b w:val="false"/>
          <w:i w:val="false"/>
          <w:color w:val="000000"/>
          <w:sz w:val="22"/>
        </w:rPr>
        <w:t xml:space="preserve"> apply subsequently. The commandant or designee shall notify the applicant of the decision in writing within ten working days of receipt of the grievance.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1157C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see Delay note at end of chapter]</w:t>
      </w:r>
    </w:p>
    <w:sectPr>
      <w:footerReference r:id="rId6"/>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801.10.46.pdf" Type="http://schemas.openxmlformats.org/officeDocument/2006/relationships/hyperlink" Id="rId4"/>
    <Relationship TargetMode="External" Target="https://www.legis.iowa.gov/docs/iac/rule/801.10.46.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