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801—10.42</w:t>
      </w:r>
      <w:r>
        <w:rPr>
          <w:rFonts w:ascii="Times New Roman" w:hAnsi="Times New Roman"/>
          <w:b/>
          <w:i w:val="false"/>
          <w:color w:val="000000"/>
          <w:sz w:val="22"/>
        </w:rPr>
        <w:t xml:space="preserve">(35D) </w:t>
      </w:r>
      <w:r>
        <w:rPr>
          <w:rFonts w:ascii="Times New Roman" w:hAnsi="Times New Roman"/>
          <w:b/>
          <w:i w:val="false"/>
          <w:color w:val="000000"/>
          <w:sz w:val="22"/>
        </w:rPr>
        <w:t xml:space="preserve">Disposition of personal property and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10.42(1)</w:t>
      </w:r>
      <w:r>
        <w:rPr>
          <w:rFonts w:ascii="Times New Roman" w:hAnsi="Times New Roman"/>
          <w:b w:val="false"/>
          <w:i w:val="false"/>
          <w:color w:val="000000"/>
          <w:sz w:val="22"/>
        </w:rPr>
        <w:t> </w:t>
      </w:r>
      <w:r>
        <w:rPr>
          <w:rFonts w:ascii="Times New Roman" w:hAnsi="Times New Roman"/>
          <w:b w:val="false"/>
          <w:i w:val="false"/>
          <w:color w:val="000000"/>
          <w:sz w:val="22"/>
        </w:rPr>
        <w:t>A discharged member shall remove all personal property at the time of discharge or within 30 days. Personal property not removed within 30 days after discharge shall become the property of IVH to dispose of as the commandant or designee directs. Personal property may be forwarded at the member’s expense to the member’s last-known address. When the member is discharged from IVH, the member’s funds shall be released to the member or legal representative with a statement provided no later than the tenth day of the month following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10.42(2)</w:t>
      </w:r>
      <w:r>
        <w:rPr>
          <w:rFonts w:ascii="Times New Roman" w:hAnsi="Times New Roman"/>
          <w:b w:val="false"/>
          <w:i w:val="false"/>
          <w:color w:val="000000"/>
          <w:sz w:val="22"/>
        </w:rPr>
        <w:t> </w:t>
      </w:r>
      <w:r>
        <w:rPr>
          <w:rFonts w:ascii="Times New Roman" w:hAnsi="Times New Roman"/>
          <w:b w:val="false"/>
          <w:i w:val="false"/>
          <w:color w:val="000000"/>
          <w:sz w:val="22"/>
        </w:rPr>
        <w:t>Following written notification to the legal representative or first next of kin, a deceased member’s personal property remaining at IVH 30 days after written notification shall become the property of IVH to dispose of as the commandant or designee directs. If there is a known legal representative or first next of kin, the property may be shipped to the legal representative or first next of kin at the expense of the estate, legal representative, or first next of kin.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10.42(3)</w:t>
      </w:r>
      <w:r>
        <w:rPr>
          <w:rFonts w:ascii="Times New Roman" w:hAnsi="Times New Roman"/>
          <w:b w:val="false"/>
          <w:i w:val="false"/>
          <w:color w:val="000000"/>
          <w:sz w:val="22"/>
        </w:rPr>
        <w:t> </w:t>
      </w:r>
      <w:r>
        <w:rPr>
          <w:rFonts w:ascii="Times New Roman" w:hAnsi="Times New Roman"/>
          <w:b w:val="false"/>
          <w:i w:val="false"/>
          <w:color w:val="000000"/>
          <w:sz w:val="22"/>
        </w:rPr>
        <w:t>Upon the death of a member with personal funds deposited at IVH, after the final bill and any outstanding funeral expenses have been paid, and after receipt of notification from the estate recovery program (for those on Title XIX) that release of funds is approved, IVH shall convey the member’s funds along with a final statement to the legal representative administering the member’s estate. When an estate is not opened or in cases where no executor is appointed, IVH shall attempt to locate the deceased member’s heirs and deliver the funds to the heirs equally or according to the terms of the last will and testament within one year after the date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