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801—10.40</w:t>
      </w:r>
      <w:r>
        <w:rPr>
          <w:rFonts w:ascii="Times New Roman" w:hAnsi="Times New Roman"/>
          <w:b/>
          <w:i w:val="false"/>
          <w:color w:val="000000"/>
          <w:sz w:val="22"/>
        </w:rPr>
        <w:t xml:space="preserve">(35D) </w:t>
      </w:r>
      <w:r>
        <w:rPr>
          <w:rFonts w:ascii="Times New Roman" w:hAnsi="Times New Roman"/>
          <w:b/>
          <w:i w:val="false"/>
          <w:color w:val="000000"/>
          <w:sz w:val="22"/>
        </w:rPr>
        <w:t xml:space="preserve">Requirements for member conduct. </w:t>
      </w:r>
      <w:r>
        <w:rPr>
          <w:rFonts w:ascii="Times New Roman" w:hAnsi="Times New Roman"/>
          <w:b w:val="false"/>
          <w:i w:val="false"/>
          <w:color w:val="000000"/>
          <w:sz w:val="22"/>
        </w:rPr>
        <w:t xml:space="preserve">The commandant or designee shall administer and enforce all requirements for member conduct. Subject to these rules and Iowa Code section </w:t>
      </w:r>
      <w:hyperlink r:id="rId4">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the commandant or designee may transfer or discharge any member from IVH when the commandant or designee determines that the health, safety or welfare of the members or staff is in immediate danger, and other reasonable alternatives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member responsibilities as set out in rule </w:t>
      </w:r>
      <w:hyperlink r:id="rId5">
        <w:r>
          <w:rPr>
            <w:rStyle w:val="Hyperlink"/>
            <w:rFonts w:ascii="Times New Roman" w:hAnsi="Times New Roman"/>
            <w:b w:val="false"/>
            <w:i w:val="false"/>
            <w:color w:val="000000"/>
            <w:sz w:val="22"/>
          </w:rPr>
          <w:t>801—10.12</w:t>
        </w:r>
      </w:hyperlink>
      <w:r>
        <w:rPr>
          <w:rFonts w:ascii="Times New Roman" w:hAnsi="Times New Roman"/>
          <w:b w:val="false"/>
          <w:i w:val="false"/>
          <w:color w:val="000000"/>
          <w:sz w:val="22"/>
        </w:rPr>
        <w:t>(35D), each member shall also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intoxicants or alcoholic beverages on IVH premises is prohibited unless prescribed by a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bringing of alcoholic beverages or illicit substances on IVH premises is prohibited. Any illicit substances or drug paraphernalia or both found in the member’s possession shall be grounds for immediate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illegal substances while a member of IVH is prohibited. A urinalysis shall confirm the presence of illegal substances. A member’s refusal to submit to a urinalysis in response to a request based on probable cause shall be considered a positive result and is grounds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or weapons of any nature shall be turned in to the commandant or designee for safekeeping. The commandant or designee shall decide if an instrument is a weapon. Firearms or weapons in the possession of a member which constitute a hazard to self or others shall be removed and stored in a place provided and controlled by the facility or sent with family members for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Smoking in members’ rooms is prohibited. Members who smoke shall do so within designated smoking areas so as not to endanger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Continuously disruptive behavior on the part of a member is grounds for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Members shall comply with legal requests and orders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shall not violate state and federal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Members shall report to the resident finance supervisor or designee any changes in assets/income, and pay support within ten business days after the monthly support bill is received or ten business days after the member’s last income deposit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is found in violation of the requirements of conduct established in subrule </w:t>
      </w:r>
      <w:hyperlink r:id="rId6">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 the following steps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first offense, a member is counseled by an appropriate staff person and options for correcting the behavior are considered. Options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IVH control of the member’s personal funds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pension money and other incomes and available liquid assets shall be deposited by the commandant or designee in a separate account for and on behalf of the member. The commandant or designee shall, under the procedures established in subrules </w:t>
      </w:r>
      <w:hyperlink r:id="rId7">
        <w:r>
          <w:rPr>
            <w:rStyle w:val="Hyperlink"/>
            <w:rFonts w:ascii="Times New Roman" w:hAnsi="Times New Roman"/>
            <w:b w:val="false"/>
            <w:i w:val="false"/>
            <w:color w:val="000000"/>
            <w:sz w:val="22"/>
          </w:rPr>
          <w:t>10.35(3)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10.35(4)</w:t>
        </w:r>
      </w:hyperlink>
      <w:r>
        <w:rPr>
          <w:rFonts w:ascii="Times New Roman" w:hAnsi="Times New Roman"/>
          <w:b w:val="false"/>
          <w:i w:val="false"/>
          <w:color w:val="000000"/>
          <w:sz w:val="22"/>
        </w:rPr>
        <w:t>, make withdrawals and disbursements to meet the regular bills and other expenses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after a period of up to six months, the member’s behavior is deemed appropriate by the facility, the handling of funds will be reviewed, and funds may be returned to the control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IVH, the balance of the funds in the IVH membership account shall be paid to the member or financial legal representative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second offense, a member is offered the services above and is placed on probation that warns a third offense may lead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third offense, discharge from IVH in accordance with subrule </w:t>
      </w:r>
      <w:hyperlink r:id="rId9">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described in subrule </w:t>
      </w:r>
      <w:hyperlink r:id="rId10">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shall generally be followed in that order. However, if the member’s violation is of an extreme nature and the member is not amenable to counseling, the commandant or designee shall choose to discharge the member after the expiration of a 30-day written notification period which begins when the notice is personally delivered. If the RCC, in conjunction with the medical provider and mental health personnel, deems that the member’s behavior poses a threat of imminent danger, the commandant or designee may issue notice of an immediate involuntary discharge. In such an emergency situation, a written notice shall be given prior to or within 48 hours following the discharge.</w:t>
      </w:r>
    </w:p>
    <w:p>
      <w:pPr>
        <w:spacing w:before="0" w:after="0"/>
        <w:ind w:left="120"/>
        <w:jc w:val="both"/>
      </w:pPr>
      <w:r>
        <w:rPr>
          <w:rFonts w:ascii="Times New Roman" w:hAnsi="Times New Roman"/>
          <w:b w:val="false"/>
          <w:i w:val="false"/>
          <w:color w:val="000000"/>
          <w:sz w:val="22"/>
        </w:rPr>
        <w:t>The member’s county commission of veterans affairs and the legal representative shall be informed in writing of the decision to discharge. Written notification shall also be issued to appropriate governmental agencies including the commission, the department of inspections and appeals, and the department on aging’s long-term care ombudsman to ensure that the member’s health, safety or welfare shall not be in danger upon the member’s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 has been previously discharged under the provisions of subrule </w:t>
      </w:r>
      <w:hyperlink r:id="rId11">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 xml:space="preserve"> shall be readmitted to IVH only upon the approval of the commandant or designee. If not approved, the applicant shall receive written notice of the denial. A copy of the denial notice shall be forwarded to the commission and the appropriate county commission of veterans affairs. Any decision to deny readmittance is subject to the review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23.pdf" Type="http://schemas.openxmlformats.org/officeDocument/2006/relationships/hyperlink" Id="rId4"/>
    <Relationship TargetMode="External" Target="https://www.legis.iowa.gov/docs/iac/rule/801.10.12.pdf" Type="http://schemas.openxmlformats.org/officeDocument/2006/relationships/hyperlink" Id="rId5"/>
    <Relationship TargetMode="External" Target="https://www.legis.iowa.gov/docs/iac/rule/801.10.40.pdf" Type="http://schemas.openxmlformats.org/officeDocument/2006/relationships/hyperlink" Id="rId6"/>
    <Relationship TargetMode="External" Target="https://www.legis.iowa.gov/docs/iac/rule/801.10.35.pdf" Type="http://schemas.openxmlformats.org/officeDocument/2006/relationships/hyperlink" Id="rId7"/>
    <Relationship TargetMode="External" Target="https://www.legis.iowa.gov/docs/iac/rule/801.10.35.pdf" Type="http://schemas.openxmlformats.org/officeDocument/2006/relationships/hyperlink" Id="rId8"/>
    <Relationship TargetMode="External" Target="https://www.legis.iowa.gov/docs/iac/rule/801.10.40.pdf" Type="http://schemas.openxmlformats.org/officeDocument/2006/relationships/hyperlink" Id="rId9"/>
    <Relationship TargetMode="External" Target="https://www.legis.iowa.gov/docs/iac/rule/801.10.40.pdf" Type="http://schemas.openxmlformats.org/officeDocument/2006/relationships/hyperlink" Id="rId10"/>
    <Relationship TargetMode="External" Target="https://www.legis.iowa.gov/docs/iac/rule/801.10.40.pdf" Type="http://schemas.openxmlformats.org/officeDocument/2006/relationships/hyperlink" Id="rId11"/>
    <Relationship TargetMode="External" Target="https://www.legis.iowa.gov/docs/iac/rule/801.10.40.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