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801—10.4</w:t>
      </w:r>
      <w:r>
        <w:rPr>
          <w:rFonts w:ascii="Times New Roman" w:hAnsi="Times New Roman"/>
          <w:b/>
          <w:i w:val="false"/>
          <w:color w:val="000000"/>
          <w:sz w:val="22"/>
        </w:rPr>
        <w:t xml:space="preserve">(35D) </w:t>
      </w:r>
      <w:r>
        <w:rPr>
          <w:rFonts w:ascii="Times New Roman" w:hAnsi="Times New Roman"/>
          <w:b/>
          <w:i w:val="false"/>
          <w:color w:val="000000"/>
          <w:sz w:val="22"/>
        </w:rPr>
        <w:t xml:space="preserve">Application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Applications received by the admissions office shall be reviewed for completeness. The county commission of veterans affairs shall be required to submit additional information if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The admissions committee shall assign the level of care required by the applicant. If a special care unit or treatment is required, this shall be designated. If there is a question regarding the level of care for which the applicant qualifies, the applicant shall be scheduled for either a preadmission visit with appropriate staff or a site visit in order to make a determination of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Regardless of whether or not the applicant can be immediately admitted, the applicant shall be notified by the admissions coordinator of the applicant’s designated level of care. An applicant who does not wish to be admitted to the designated level of care may submit evidence to show that another level of care may be more appropriate. However, once the admissions committee makes a final determination, the applicant who does not wish to be admitted under the designated level of care may withdraw the application or have the application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When space is not immediately available in the level of care assigned or on the appropriate special care unit, the applicant’s name shall be placed on the appropriate waiting list for that level of care or special care unit in the order of the date the application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When space is available at time of application, or when space becomes available in accordance with the designated waiting list, the applicant shall be scheduled for admittance to IVH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whose physical examination or personal functional assessment, or both if applicable, was completed more than three months prior to the scheduled date of admittance may be required to obtain another physical examination by a medical provider or complete a current personal functional assessment, or both if applicable. This information shall be reviewed to determine that the applicant is capable of functioning at the previously determined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requires a different level of care than previously determined shall be admitted to the level of care required if a bed is available or shall have the applicant’s name placed on the waiting list for the appropriate level of care in accordance with the date the original application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an applicant’s admission to a nursing care unit, the PASRR shall be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