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801—10.37</w:t>
      </w:r>
      <w:r>
        <w:rPr>
          <w:rFonts w:ascii="Times New Roman" w:hAnsi="Times New Roman"/>
          <w:b/>
          <w:i w:val="false"/>
          <w:color w:val="000000"/>
          <w:sz w:val="22"/>
        </w:rPr>
        <w:t xml:space="preserve">(35D) </w:t>
      </w:r>
      <w:r>
        <w:rPr>
          <w:rFonts w:ascii="Times New Roman" w:hAnsi="Times New Roman"/>
          <w:b/>
          <w:i w:val="false"/>
          <w:color w:val="000000"/>
          <w:sz w:val="22"/>
        </w:rPr>
        <w:t xml:space="preserve">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Each member or legal representative shall be afforded a choice in the methods of handling the member’s business mail and in meeting the member’s responsibilities for reporting resources for the purpose of computation of member support. A member found to have inadequate financial decision making shall have that member’s business mail handled in a manner as to respect that member’s dignity and still meet the needs of IVH for complete information regarding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Each member or legal representative shall be allowed to handle that member’s business mail to the degree of responsibility chosen by the member or legal representative. A member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 to receive all business mail personally and provide the resident finance office with financial documentation,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Designate that the member shall receive personal mail items, but business mail received at IVH from entitlement sources or concerning assets shall be routed to the resident finance office, cashier’s office or purchasing office, whichever is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