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801—10.35</w:t>
      </w:r>
      <w:r>
        <w:rPr>
          <w:rFonts w:ascii="Times New Roman" w:hAnsi="Times New Roman"/>
          <w:b/>
          <w:i w:val="false"/>
          <w:color w:val="000000"/>
          <w:sz w:val="22"/>
        </w:rPr>
        <w:t xml:space="preserve">(35D) </w:t>
      </w:r>
      <w:r>
        <w:rPr>
          <w:rFonts w:ascii="Times New Roman" w:hAnsi="Times New Roman"/>
          <w:b/>
          <w:i w:val="false"/>
          <w:color w:val="000000"/>
          <w:sz w:val="22"/>
        </w:rPr>
        <w:t xml:space="preserve">Handling of pension money and other funds. </w:t>
      </w:r>
      <w:r>
        <w:rPr>
          <w:rFonts w:ascii="Times New Roman" w:hAnsi="Times New Roman"/>
          <w:b w:val="false"/>
          <w:i w:val="false"/>
          <w:color w:val="000000"/>
          <w:sz w:val="22"/>
        </w:rPr>
        <w:t>Each member who has not been assigned a guardian, conservator, fiduciary or representative payee or has not designated a power of attorney while having adequate decision-making capacity or as otherwise specified may manage that member’s own personal financial affairs. Upon the receipt of written authorization from the member or legal representative by the commandant or designee, the commandant or designee may assist the member in the management of the member’s financial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 xml:space="preserve">Pension money or other funds deposited with IVH are not assignable except as specified at subrule </w:t>
      </w:r>
      <w:hyperlink r:id="rId4">
        <w:r>
          <w:rPr>
            <w:rStyle w:val="Hyperlink"/>
            <w:rFonts w:ascii="Times New Roman" w:hAnsi="Times New Roman"/>
            <w:b w:val="false"/>
            <w:i w:val="false"/>
            <w:color w:val="000000"/>
            <w:sz w:val="22"/>
          </w:rPr>
          <w:t>10.19(3)</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10.40(2)</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 xml:space="preserve">If authorized by a member, the commandant or designee may act on behalf of that member in receiving, disbursing, and accounting for personal funds of the member received from any source subject to the requirements of Iowa Code section </w:t>
      </w:r>
      <w:hyperlink r:id="rId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The authorization may be given or withdrawn in writing by the member or legal representative at any time. The authorization shall not be a condition of admission to or retention at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IVH shall maintain a commercial account with a federally insured bank for the personal deposits of its members. The account shall be known as the IVH membership account/rep payee for social security/VA beneficiaries. The commandant or designee shall record each member’s personal deposits individually and shall deposit the funds in the membership account where the members’ deposits shall be held in the aggregate. Interest shall accrue on those accounts that are on deposit the last working Friday of each month. IVH may withdraw moneys from the account maintained pursuant to this subrule to establish certificates of deposit for the benefit of all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10.35(4)</w:t>
      </w:r>
      <w:r>
        <w:rPr>
          <w:rFonts w:ascii="Times New Roman" w:hAnsi="Times New Roman"/>
          <w:b w:val="false"/>
          <w:i w:val="false"/>
          <w:color w:val="000000"/>
          <w:sz w:val="22"/>
        </w:rPr>
        <w:t> </w:t>
      </w:r>
      <w:r>
        <w:rPr>
          <w:rFonts w:ascii="Times New Roman" w:hAnsi="Times New Roman"/>
          <w:b w:val="false"/>
          <w:i w:val="false"/>
          <w:color w:val="000000"/>
          <w:sz w:val="22"/>
        </w:rPr>
        <w:t>If authorized in writing by the member or legal representative, the commandant or designee may make withdrawals against that member’s personal account to pay regular bills and other expenses incurred by the member. The authorization may be given or withdrawn in writing by the member or legal representative at any time. The authorization shall not be a condition of admission to or retention at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10.35(5)</w:t>
      </w:r>
      <w:r>
        <w:rPr>
          <w:rFonts w:ascii="Times New Roman" w:hAnsi="Times New Roman"/>
          <w:b w:val="false"/>
          <w:i w:val="false"/>
          <w:color w:val="000000"/>
          <w:sz w:val="22"/>
        </w:rPr>
        <w:t> </w:t>
      </w:r>
      <w:r>
        <w:rPr>
          <w:rFonts w:ascii="Times New Roman" w:hAnsi="Times New Roman"/>
          <w:b w:val="false"/>
          <w:i w:val="false"/>
          <w:color w:val="000000"/>
          <w:sz w:val="22"/>
        </w:rPr>
        <w:t>The commandant or designee shall maintain a written record of each member’s funds which are received by or deposited with IVH. The member or legal representative shall receive a monthly statement showing deposits, withdrawals, disbursements, interest and current balances. If the commandant or designee is made representative payee or fiduciary for the member’s financial transactions, this statement shall be maintained in the member’s administrative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10.35(6)</w:t>
      </w:r>
      <w:r>
        <w:rPr>
          <w:rFonts w:ascii="Times New Roman" w:hAnsi="Times New Roman"/>
          <w:b w:val="false"/>
          <w:i w:val="false"/>
          <w:color w:val="000000"/>
          <w:sz w:val="22"/>
        </w:rPr>
        <w:t> </w:t>
      </w:r>
      <w:r>
        <w:rPr>
          <w:rFonts w:ascii="Times New Roman" w:hAnsi="Times New Roman"/>
          <w:b w:val="false"/>
          <w:i w:val="false"/>
          <w:color w:val="000000"/>
          <w:sz w:val="22"/>
        </w:rPr>
        <w:t>Except as otherwise specified and unless the commandant or designee has been appointed representative payee or fiduciary, funds deposited with IVH shall be released to the member or legal representative upon request. A statement will be provided showing deposits, disbursements, interest, and the final balance at the time the funds are withdrawn. When the member continues to maintain residency at IVH, the funds shall be released and a statement provided within three working days following the request. When a member is being discharged from IVH, the funds shall be released and a statement provided no later than the tenth day of the month following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10.35(7)</w:t>
      </w:r>
      <w:r>
        <w:rPr>
          <w:rFonts w:ascii="Times New Roman" w:hAnsi="Times New Roman"/>
          <w:b w:val="false"/>
          <w:i w:val="false"/>
          <w:color w:val="000000"/>
          <w:sz w:val="22"/>
        </w:rPr>
        <w:t> </w:t>
      </w:r>
      <w:r>
        <w:rPr>
          <w:rFonts w:ascii="Times New Roman" w:hAnsi="Times New Roman"/>
          <w:b w:val="false"/>
          <w:i w:val="false"/>
          <w:color w:val="000000"/>
          <w:sz w:val="22"/>
        </w:rPr>
        <w:t>Upon the death of a member with personal funds deposited with IVH, and upon receipt of documentation of an outstanding balance, IVH will promptly convey the member’s funds to the funeral home or to the individual paying the last funeral expenses. If no bill is presented for funeral expenses, IVH will collect any balance owing for the resident’s final support bill, which may include debts owed to the IVH arts and crafts and ceramics program. IVH will notify promptly the estate recovery program of the death of any IVH resident. Upon IVH’s receipt of notification from the estate recovery program, any funds remaining in the deceased resident’s membership account will be disbursed according to the deceased resident’s directions. If probate papers are produced, a final accounting of those funds must also be provided to the individual administering the member’s estate along with a disbursement of any remaining funds. If the value of the member’s estate is so small as to make the granting of administration inadvisable, IVH must hold, then deliver all money plus interest within one year to the proper heirs equally or adhere to the member’s request in the member’s last will and testament.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w:t>
      </w:r>
      <w:r>
        <w:rPr>
          <w:rFonts w:ascii="Times New Roman" w:hAnsi="Times New Roman"/>
          <w:b w:val="false"/>
          <w:i w:val="false"/>
          <w:color w:val="000000"/>
          <w:sz w:val="22"/>
        </w:rPr>
        <w:t> </w:t>
      </w:r>
      <w:r>
        <w:rPr>
          <w:rFonts w:ascii="Times New Roman" w:hAnsi="Times New Roman"/>
          <w:b w:val="false"/>
          <w:i w:val="false"/>
          <w:color w:val="000000"/>
          <w:sz w:val="22"/>
        </w:rPr>
        <w:t>A member discharged while on leave from IVH shall have the member’s account closed by the tenth day of the month following discharge.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35D.11(2)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35D.12(2)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10.19.pdf" Type="http://schemas.openxmlformats.org/officeDocument/2006/relationships/hyperlink" Id="rId4"/>
    <Relationship TargetMode="External" Target="https://www.legis.iowa.gov/docs/iac/rule/801.10.40.pdf" Type="http://schemas.openxmlformats.org/officeDocument/2006/relationships/hyperlink" Id="rId5"/>
    <Relationship TargetMode="External" Target="https://www.legis.iowa.gov/docs/ico/chapter/135C.24.pdf" Type="http://schemas.openxmlformats.org/officeDocument/2006/relationships/hyperlink" Id="rId6"/>
    <Relationship TargetMode="External" Target="https://www.legis.iowa.gov/docs/ico/chapter/35D.11.pdf" Type="http://schemas.openxmlformats.org/officeDocument/2006/relationships/hyperlink" Id="rId7"/>
    <Relationship TargetMode="External" Target="https://www.legis.iowa.gov/docs/ico/chapter/35D.1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