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801—10.3</w:t>
      </w:r>
      <w:r>
        <w:rPr>
          <w:rFonts w:ascii="Times New Roman" w:hAnsi="Times New Roman"/>
          <w:b/>
          <w:i w:val="false"/>
          <w:color w:val="000000"/>
          <w:sz w:val="22"/>
        </w:rPr>
        <w:t xml:space="preserve">(35D) </w:t>
      </w:r>
      <w:r>
        <w:rPr>
          <w:rFonts w:ascii="Times New Roman" w:hAnsi="Times New Roman"/>
          <w:b/>
          <w:i w:val="false"/>
          <w:color w:val="000000"/>
          <w:sz w:val="22"/>
        </w:rPr>
        <w:t xml:space="preserve">Application. </w:t>
      </w:r>
      <w:r>
        <w:rPr>
          <w:rFonts w:ascii="Times New Roman" w:hAnsi="Times New Roman"/>
          <w:b w:val="false"/>
          <w:i w:val="false"/>
          <w:color w:val="000000"/>
          <w:sz w:val="22"/>
        </w:rPr>
        <w:t>All applicants shall apply for admission to IVH in accordance with the following subrules: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w:t>
      </w:r>
      <w:r>
        <w:rPr>
          <w:rFonts w:ascii="Times New Roman" w:hAnsi="Times New Roman"/>
          <w:b w:val="false"/>
          <w:i w:val="false"/>
          <w:color w:val="000000"/>
          <w:sz w:val="22"/>
        </w:rPr>
        <w:t> </w:t>
      </w:r>
      <w:r>
        <w:rPr>
          <w:rFonts w:ascii="Times New Roman" w:hAnsi="Times New Roman"/>
          <w:b w:val="false"/>
          <w:i w:val="false"/>
          <w:color w:val="000000"/>
          <w:sz w:val="22"/>
        </w:rPr>
        <w:t>All applicants shall make application to IVH through the county commission of veterans affairs in the applicant’s county of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w:t>
      </w:r>
      <w:r>
        <w:rPr>
          <w:rFonts w:ascii="Times New Roman" w:hAnsi="Times New Roman"/>
          <w:b w:val="false"/>
          <w:i w:val="false"/>
          <w:color w:val="000000"/>
          <w:sz w:val="22"/>
        </w:rPr>
        <w:t> </w:t>
      </w:r>
      <w:r>
        <w:rPr>
          <w:rFonts w:ascii="Times New Roman" w:hAnsi="Times New Roman"/>
          <w:b w:val="false"/>
          <w:i w:val="false"/>
          <w:color w:val="000000"/>
          <w:sz w:val="22"/>
        </w:rPr>
        <w:t>Application shall be made on the “Veteran Application for Admission to the Iowa Veterans Home,” Form 475-0409, the “Spouse’s Application for Admission to the Iowa Veterans Home,” Form 475-0410, or the “Gold Star Parent Application for Admission to the Iowa Veterans Home,” Form 475-2044. Separate applications shall be required for an eligible veteran and the spouse of the veteran when both veteran and spouse are applying for admission. The applications may be obtained 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county commission of veterans affairs’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DVA medical centers located in or serving veterans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IVH.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Website: </w:t>
      </w:r>
      <w:hyperlink r:id="rId4">
        <w:r>
          <w:rPr>
            <w:rStyle w:val="Hyperlink"/>
            <w:rFonts w:ascii="Times New Roman" w:hAnsi="Times New Roman"/>
            <w:b w:val="false"/>
            <w:i w:val="false"/>
            <w:color w:val="000000"/>
            <w:sz w:val="22"/>
            <w:u w:val="single"/>
          </w:rPr>
          <w:t>ivh.iowa.gov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provide a copy of a physical which has been completed within three months of application. If needed, a physical examination shall be scheduled by the applicant’s primary care provider. Information must be authenticated by the medical provider’s original signature or electronic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w:t>
      </w:r>
      <w:r>
        <w:rPr>
          <w:rFonts w:ascii="Times New Roman" w:hAnsi="Times New Roman"/>
          <w:b w:val="false"/>
          <w:i w:val="false"/>
          <w:color w:val="000000"/>
          <w:sz w:val="22"/>
        </w:rPr>
        <w:t> </w:t>
      </w:r>
      <w:r>
        <w:rPr>
          <w:rFonts w:ascii="Times New Roman" w:hAnsi="Times New Roman"/>
          <w:b w:val="false"/>
          <w:i w:val="false"/>
          <w:color w:val="000000"/>
          <w:sz w:val="22"/>
        </w:rPr>
        <w:t>The following items shall be attached to the application before it is forwarded to IVH: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the veteran’s honorable discharge (DD214) from the armed forces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applicant is a married or surviving spouse, a copy of the marriage certificate or evidence of a common-law marriage on which a prudent person would rely.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applicant is a Gold Star parent, a copy of the child’s birth certificate and certification of the child’s death while serving on active duty in the armed forces of the United States during a time of military conflict.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the applicant’s birth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the marriage license(s), divorce decree(s) or death certificate of the spouse,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completed “Personal Functional Assessment,” Form 475-0837.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completed “Supplement to Application for Admission to the Iowa Veterans Home,” Form 475-0843.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completed “Financial Affidavit,” Form 475-0839.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w:t>
      </w:r>
      <w:r>
        <w:rPr>
          <w:rFonts w:ascii="Times New Roman" w:hAnsi="Times New Roman"/>
          <w:b w:val="false"/>
          <w:i w:val="false"/>
          <w:color w:val="000000"/>
          <w:sz w:val="22"/>
        </w:rPr>
        <w:t> </w:t>
      </w:r>
      <w:r>
        <w:rPr>
          <w:rFonts w:ascii="Times New Roman" w:hAnsi="Times New Roman"/>
          <w:b w:val="false"/>
          <w:i w:val="false"/>
          <w:color w:val="000000"/>
          <w:sz w:val="22"/>
        </w:rPr>
        <w:t xml:space="preserve">Once the requirements of subrules </w:t>
      </w:r>
      <w:hyperlink r:id="rId5">
        <w:r>
          <w:rPr>
            <w:rStyle w:val="Hyperlink"/>
            <w:rFonts w:ascii="Times New Roman" w:hAnsi="Times New Roman"/>
            <w:b w:val="false"/>
            <w:i w:val="false"/>
            <w:color w:val="000000"/>
            <w:sz w:val="22"/>
          </w:rPr>
          <w:t>10.3(2)</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10.3(3)</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10.3(4)</w:t>
        </w:r>
      </w:hyperlink>
      <w:r>
        <w:rPr>
          <w:rFonts w:ascii="Times New Roman" w:hAnsi="Times New Roman"/>
          <w:b w:val="false"/>
          <w:i w:val="false"/>
          <w:color w:val="000000"/>
          <w:sz w:val="22"/>
        </w:rPr>
        <w:t xml:space="preserve"> have been met, the county commission of veterans affairs shall forward the completed application to the admissions office at IVH. No county shall require additional requirements for the application for admission beyond the requirements stated in these rules. Neither shall a county require additional forms to be filled out or provided by the applicant other than the forms required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w:t>
      </w:r>
      <w:r>
        <w:rPr>
          <w:rFonts w:ascii="Times New Roman" w:hAnsi="Times New Roman"/>
          <w:b w:val="false"/>
          <w:i w:val="false"/>
          <w:color w:val="000000"/>
          <w:sz w:val="22"/>
        </w:rPr>
        <w:t> </w:t>
      </w:r>
      <w:r>
        <w:rPr>
          <w:rFonts w:ascii="Times New Roman" w:hAnsi="Times New Roman"/>
          <w:b w:val="false"/>
          <w:i w:val="false"/>
          <w:color w:val="000000"/>
          <w:sz w:val="22"/>
        </w:rPr>
        <w:t>Eligibility determinations are subject to approval by the commandant or designee.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9689B</w:t>
      </w:r>
      <w:r>
        <w:rPr>
          <w:rFonts w:ascii="Times New Roman" w:hAnsi="Times New Roman"/>
          <w:b w:val="false"/>
          <w:i w:val="false"/>
          <w:color w:val="000000"/>
          <w:sz w:val="16"/>
        </w:rPr>
        <w:t>, IAB 8/24/11, effective 9/28/11</w:t>
      </w:r>
      <w:r>
        <w:rPr>
          <w:rFonts w:ascii="Times New Roman" w:hAnsi="Times New Roman"/>
          <w:b w:val="false"/>
          <w:i w:val="false"/>
          <w:color w:val="000000"/>
          <w:sz w:val="16"/>
        </w:rPr>
        <w:t xml:space="preserve">; </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 xml:space="preserve">; </w:t>
      </w:r>
      <w:r>
        <w:rPr>
          <w:rFonts w:ascii="Times New Roman" w:hAnsi="Times New Roman"/>
          <w:b/>
          <w:i w:val="false"/>
          <w:color w:val="000000"/>
          <w:sz w:val="16"/>
        </w:rPr>
        <w:t>ARC 5800C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ivh.iowa.gov" Type="http://schemas.openxmlformats.org/officeDocument/2006/relationships/hyperlink" Id="rId4"/>
    <Relationship TargetMode="External" Target="https://www.legis.iowa.gov/docs/iac/rule/801.10.3.pdf" Type="http://schemas.openxmlformats.org/officeDocument/2006/relationships/hyperlink" Id="rId5"/>
    <Relationship TargetMode="External" Target="https://www.legis.iowa.gov/docs/iac/rule/801.10.3.pdf" Type="http://schemas.openxmlformats.org/officeDocument/2006/relationships/hyperlink" Id="rId6"/>
    <Relationship TargetMode="External" Target="https://www.legis.iowa.gov/docs/iac/rule/801.10.3.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