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801—10.23</w:t>
      </w:r>
      <w:r>
        <w:rPr>
          <w:rFonts w:ascii="Times New Roman" w:hAnsi="Times New Roman"/>
          <w:b/>
          <w:i w:val="false"/>
          <w:color w:val="000000"/>
          <w:sz w:val="22"/>
        </w:rPr>
        <w:t xml:space="preserve">(35D) </w:t>
      </w:r>
      <w:r>
        <w:rPr>
          <w:rFonts w:ascii="Times New Roman" w:hAnsi="Times New Roman"/>
          <w:b/>
          <w:i w:val="false"/>
          <w:color w:val="000000"/>
          <w:sz w:val="22"/>
        </w:rPr>
        <w:t xml:space="preserve">Penalty.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val="false"/>
          <w:color w:val="000000"/>
          <w:sz w:val="22"/>
        </w:rPr>
        <w:t>All members who have resources in excess of the full support rate shall be charged the full support rate. If any member does not apply for all benefits due (such as, but not limited to, Title XIX, DVA pension, DVA compensation, social security, or any combination), fails to report resources accurately in order to not pay full support, or refuses to accept the available billing programs offered at IVH, that member shall be charged up to full support rate as if these responsibilities had been followed. Failure to comply with these rules may result in discharge from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member is required to pay full member support under these rules, the monthly charge shall be calculated as the per diem in paragraph </w:t>
      </w:r>
      <w:hyperlink r:id="rId4">
        <w:r>
          <w:rPr>
            <w:rStyle w:val="Hyperlink"/>
            <w:rFonts w:ascii="Times New Roman" w:hAnsi="Times New Roman"/>
            <w:b w:val="false"/>
            <w:i w:val="false"/>
            <w:color w:val="000000"/>
            <w:sz w:val="22"/>
          </w:rPr>
          <w:t>10.15(1)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10.15(1)</w:t>
        </w:r>
      </w:hyperlink>
      <w:r>
        <w:rPr>
          <w:rFonts w:ascii="Times New Roman" w:hAnsi="Times New Roman"/>
          <w:b w:val="false"/>
          <w:i/>
          <w:color w:val="000000"/>
          <w:sz w:val="22"/>
        </w:rPr>
        <w:t>“b”</w:t>
      </w:r>
      <w:r>
        <w:rPr>
          <w:rFonts w:ascii="Times New Roman" w:hAnsi="Times New Roman"/>
          <w:b w:val="false"/>
          <w:i w:val="false"/>
          <w:color w:val="000000"/>
          <w:sz w:val="22"/>
        </w:rPr>
        <w:t xml:space="preserve"> times the billable days less any offsets. The only exception to this monthly charge will be the additional amount of aid and attendance in the DVA retroactive payment for the time period of nursing care at IVH. This amount, in total, shall be due regardless of resources available. If a member is required to pay member support based on additional resources, these figures shall be obtained from the appropriate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01.10.15.pdf" Type="http://schemas.openxmlformats.org/officeDocument/2006/relationships/hyperlink" Id="rId4"/>
    <Relationship TargetMode="External" Target="https://www.legis.iowa.gov/docs/iac/rule/801.10.1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