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801—10.21</w:t>
      </w:r>
      <w:r>
        <w:rPr>
          <w:rFonts w:ascii="Times New Roman" w:hAnsi="Times New Roman"/>
          <w:b/>
          <w:i w:val="false"/>
          <w:color w:val="000000"/>
          <w:sz w:val="22"/>
        </w:rPr>
        <w:t xml:space="preserve">(35D) </w:t>
      </w:r>
      <w:r>
        <w:rPr>
          <w:rFonts w:ascii="Times New Roman" w:hAnsi="Times New Roman"/>
          <w:b/>
          <w:i w:val="false"/>
          <w:color w:val="000000"/>
          <w:sz w:val="22"/>
        </w:rPr>
        <w:t xml:space="preserve">Fraud. </w:t>
      </w:r>
      <w:r>
        <w:rPr>
          <w:rFonts w:ascii="Times New Roman" w:hAnsi="Times New Roman"/>
          <w:b w:val="false"/>
          <w:i w:val="false"/>
          <w:color w:val="000000"/>
          <w:sz w:val="22"/>
        </w:rPr>
        <w:t>Applicants, members or legal representatives who knowingly conceal the existence of resources may be subject to the billing of full member support, discharge for failure to pay for member’s care or denial of admission. Further, members who knowingly conceal liquid assets or income which would have affected member support shall be charged for the amount not previously billed due to the fraudulent act. If upon admission it is determined that medical or other pertinent information provided during the application process was fraudulent, notice of discharge may be issued. In addition, any applicant, member or legal representative suspected of fraud may be referred to the department of inspections and appeals, division of investigations, for possible criminal or civil action. The attorney general’s office shall conduct the investigation.</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