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801—10.19</w:t>
      </w:r>
      <w:r>
        <w:rPr>
          <w:rFonts w:ascii="Times New Roman" w:hAnsi="Times New Roman"/>
          <w:b/>
          <w:i w:val="false"/>
          <w:color w:val="000000"/>
          <w:sz w:val="22"/>
        </w:rPr>
        <w:t xml:space="preserve">(35D) </w:t>
      </w:r>
      <w:r>
        <w:rPr>
          <w:rFonts w:ascii="Times New Roman" w:hAnsi="Times New Roman"/>
          <w:b/>
          <w:i w:val="false"/>
          <w:color w:val="000000"/>
          <w:sz w:val="22"/>
        </w:rPr>
        <w:t xml:space="preserve">Income. </w:t>
      </w:r>
      <w:r>
        <w:rPr>
          <w:rFonts w:ascii="Times New Roman" w:hAnsi="Times New Roman"/>
          <w:b w:val="false"/>
          <w:i w:val="false"/>
          <w:color w:val="000000"/>
          <w:sz w:val="22"/>
        </w:rPr>
        <w:t xml:space="preserve">This rule describes the treatment of income, as defined at rule </w:t>
      </w:r>
      <w:hyperlink r:id="rId4">
        <w:r>
          <w:rPr>
            <w:rStyle w:val="Hyperlink"/>
            <w:rFonts w:ascii="Times New Roman" w:hAnsi="Times New Roman"/>
            <w:b w:val="false"/>
            <w:i w:val="false"/>
            <w:color w:val="000000"/>
            <w:sz w:val="22"/>
          </w:rPr>
          <w:t>801—10.1</w:t>
        </w:r>
      </w:hyperlink>
      <w:r>
        <w:rPr>
          <w:rFonts w:ascii="Times New Roman" w:hAnsi="Times New Roman"/>
          <w:b w:val="false"/>
          <w:i w:val="false"/>
          <w:color w:val="000000"/>
          <w:sz w:val="22"/>
        </w:rPr>
        <w:t xml:space="preserve">(35D), in the computation of member support as described at rule </w:t>
      </w:r>
      <w:hyperlink r:id="rId5">
        <w:r>
          <w:rPr>
            <w:rStyle w:val="Hyperlink"/>
            <w:rFonts w:ascii="Times New Roman" w:hAnsi="Times New Roman"/>
            <w:b w:val="false"/>
            <w:i w:val="false"/>
            <w:color w:val="000000"/>
            <w:sz w:val="22"/>
          </w:rPr>
          <w:t>801—10.14</w:t>
        </w:r>
      </w:hyperlink>
      <w:r>
        <w:rPr>
          <w:rFonts w:ascii="Times New Roman" w:hAnsi="Times New Roman"/>
          <w:b w:val="false"/>
          <w:i w:val="false"/>
          <w:color w:val="000000"/>
          <w:sz w:val="22"/>
        </w:rPr>
        <w:t>(35D).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who are eligible for Title XIX medical assistance, rule </w:t>
      </w:r>
      <w:hyperlink r:id="rId6">
        <w:r>
          <w:rPr>
            <w:rStyle w:val="Hyperlink"/>
            <w:rFonts w:ascii="Times New Roman" w:hAnsi="Times New Roman"/>
            <w:b w:val="false"/>
            <w:i w:val="false"/>
            <w:color w:val="000000"/>
            <w:sz w:val="22"/>
          </w:rPr>
          <w:t>441—75.5</w:t>
        </w:r>
      </w:hyperlink>
      <w:r>
        <w:rPr>
          <w:rFonts w:ascii="Times New Roman" w:hAnsi="Times New Roman"/>
          <w:b w:val="false"/>
          <w:i w:val="false"/>
          <w:color w:val="000000"/>
          <w:sz w:val="22"/>
        </w:rPr>
        <w:t>(249A) shall apply. For those members participating in the Title XIX medical assistance program, the difference between the $140 personal needs allowance and the Title XIX personal needs allowance shall be returned to the member out of individual member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val="false"/>
          <w:color w:val="000000"/>
          <w:sz w:val="22"/>
        </w:rPr>
        <w:t>For members who are not eligible for Title XIX,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income are exempt in the computation of member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earned income of the spouse or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Unearned income restricted to the needs of the spouse or dependents (social security, DVA,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income that can be specifically identified as accruing to the spouse or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Nonrecurring gifts, contributions or winnings, not to exceed $60 in a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Interest income of less than $20 per month from any one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State bonus for military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earnings received by a member for that member’s participation in money-raising activities administered by veterans’ organizations or auxiliaries (i.e., poppies).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money received by a member from the sale of items resulting from a therapeutic activity (i.e., items sold in the IVH gift shop).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first $150 received by a member in a month for participation in the incentive therapy or other programs as described in rule </w:t>
      </w:r>
      <w:hyperlink r:id="rId7">
        <w:r>
          <w:rPr>
            <w:rStyle w:val="Hyperlink"/>
            <w:rFonts w:ascii="Times New Roman" w:hAnsi="Times New Roman"/>
            <w:b w:val="false"/>
            <w:i w:val="false"/>
            <w:color w:val="000000"/>
            <w:sz w:val="22"/>
          </w:rPr>
          <w:t>801—10.30</w:t>
        </w:r>
      </w:hyperlink>
      <w:r>
        <w:rPr>
          <w:rFonts w:ascii="Times New Roman" w:hAnsi="Times New Roman"/>
          <w:b w:val="false"/>
          <w:i w:val="false"/>
          <w:color w:val="000000"/>
          <w:sz w:val="22"/>
        </w:rPr>
        <w:t>(35D), for members in the domiciliary level of care. For members in the nursing level of care, the first $75 shall be exempted.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Personal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In-kind contributions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Title XIX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Yearly DVA compensation clothing allowance for those who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Other income as specifically exempted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income similar in its origin to the assets excluded in subparagraphs </w:t>
      </w:r>
      <w:hyperlink r:id="rId8">
        <w:r>
          <w:rPr>
            <w:rStyle w:val="Hyperlink"/>
            <w:rFonts w:ascii="Times New Roman" w:hAnsi="Times New Roman"/>
            <w:b w:val="false"/>
            <w:i w:val="false"/>
            <w:color w:val="000000"/>
            <w:sz w:val="22"/>
          </w:rPr>
          <w:t>10.16(2)</w:t>
        </w:r>
      </w:hyperlink>
      <w:r>
        <w:rPr>
          <w:rFonts w:ascii="Times New Roman" w:hAnsi="Times New Roman"/>
          <w:b w:val="false"/>
          <w:i/>
          <w:color w:val="000000"/>
          <w:sz w:val="22"/>
        </w:rPr>
        <w:t>“a”</w:t>
      </w:r>
      <w:r>
        <w:rPr>
          <w:rFonts w:ascii="Times New Roman" w:hAnsi="Times New Roman"/>
          <w:b w:val="false"/>
          <w:i w:val="false"/>
          <w:color w:val="000000"/>
          <w:sz w:val="22"/>
        </w:rPr>
        <w:t>(6)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Income from employment as outlined in the IVH discharge planning policy (IVH policy #265).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Personal needs allowance. All members shall have an amount exempted from their monthly income intended to cover the purchase of clothing and incidentals.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income up to the first $140 shall be kept as a personal needs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personal needs allowance shall be subtracted from the member’s income prior to determination of moneys to which the spouse may be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type of income not specifically exempted shall be considered for the payment of member support as provided in rule </w:t>
      </w:r>
      <w:hyperlink r:id="rId9">
        <w:r>
          <w:rPr>
            <w:rStyle w:val="Hyperlink"/>
            <w:rFonts w:ascii="Times New Roman" w:hAnsi="Times New Roman"/>
            <w:b w:val="false"/>
            <w:i w:val="false"/>
            <w:color w:val="000000"/>
            <w:sz w:val="22"/>
          </w:rPr>
          <w:t>801—10.14</w:t>
        </w:r>
      </w:hyperlink>
      <w:r>
        <w:rPr>
          <w:rFonts w:ascii="Times New Roman" w:hAnsi="Times New Roman"/>
          <w:b w:val="false"/>
          <w:i w:val="false"/>
          <w:color w:val="000000"/>
          <w:sz w:val="22"/>
        </w:rPr>
        <w:t>(35D).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Determining income from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Nontrust property. Where there is nontrust property, income paid in the name of one person shall be available only to that person unless the document providing income specifies differently. If payment of income is in the name of two persons, one-half is attributed to each. If payment is in the name of several persons, the income shall be considered in proportion to their ownership interest. If the member or spouse can establish different ownership by a preponderance of evidence, the income shall be divided in proportion to the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Trust property. Where there is trust property, the payment of income shall be considered available as provided in the trust. In the absence of specific provisions in the trust, the income shall be considered as stated above for nontrust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income to consider in the computation of member support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Regular monthly pensions and entitlements. The amount of income to be considered is the gross amount of the monthly entitlement or pension received less any medical insurance premium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Investments or nonrecurring lump sum payments. Net unearned income from investments or nonrecurring lump sum payments shall be determined by deducting income-producing costs from the gross unearned income. Income-producing costs include, but are not limited to, brokerage fees, property manager’s salary, maintenance costs and attorney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Property sold on contract. The amount of income to consider shall be the amount received minus any payments for mortgage, taxes, insurance or assessments still owed on the property and payable by the contract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Earned income from a rental, sole or partnership enterprise. The amount of income to consider shall be the net profit figure as determined for the Internal Revenue Service on the member’s income tax return.</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The deductions of the previous year’s state and federal taxes and depreciation on the income tax return are not allowable deductions for the purpose of the computation of member support. If a tax return is not available, the member or legal representative shall provide all information and verification needed in order to correctly compute member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Partnership income. The member’s share of the net profit shall be determined in the same manner as the partnership percentage as determined for the Internal Revenue Service’s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10.19(3)</w:t>
      </w:r>
      <w:r>
        <w:rPr>
          <w:rFonts w:ascii="Times New Roman" w:hAnsi="Times New Roman"/>
          <w:b w:val="false"/>
          <w:i w:val="false"/>
          <w:color w:val="000000"/>
          <w:sz w:val="22"/>
        </w:rPr>
        <w:t> </w:t>
      </w:r>
      <w:r>
        <w:rPr>
          <w:rFonts w:ascii="Times New Roman" w:hAnsi="Times New Roman"/>
          <w:b w:val="false"/>
          <w:i w:val="false"/>
          <w:color w:val="000000"/>
          <w:sz w:val="22"/>
        </w:rPr>
        <w:t>Member income diversion to dependent spouse not living at IVH. A portion of the member’s income shall be diverted to the spouse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Spouse living in the community. One-half the income in exclusion of an amount equal to aid and attendance and after reduction of personal needs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Spouse permanently in another nursing home. Member shall be treated as single. If the member is in receipt of a DVA pension, the amount of income provided the spouse would be the DVA pension dependency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Spouses living in a residential care facility. Spouses shall be treated under the same rules as a spouse living in the community in accordance with paragraph </w:t>
      </w:r>
      <w:hyperlink r:id="rId10">
        <w:r>
          <w:rPr>
            <w:rStyle w:val="Hyperlink"/>
            <w:rFonts w:ascii="Times New Roman" w:hAnsi="Times New Roman"/>
            <w:b w:val="false"/>
            <w:i w:val="false"/>
            <w:color w:val="000000"/>
            <w:sz w:val="22"/>
          </w:rPr>
          <w:t>10.19(3)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current court order proceedings and guardian/conservatorship appointments regarding financial obligations shall be honored.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10.19(4)</w:t>
      </w:r>
      <w:r>
        <w:rPr>
          <w:rFonts w:ascii="Times New Roman" w:hAnsi="Times New Roman"/>
          <w:b w:val="false"/>
          <w:i w:val="false"/>
          <w:color w:val="000000"/>
          <w:sz w:val="22"/>
        </w:rPr>
        <w:t> </w:t>
      </w:r>
      <w:r>
        <w:rPr>
          <w:rFonts w:ascii="Times New Roman" w:hAnsi="Times New Roman"/>
          <w:b w:val="false"/>
          <w:i w:val="false"/>
          <w:color w:val="000000"/>
          <w:sz w:val="22"/>
        </w:rPr>
        <w:t>Income disbursements.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diversions to spouse or valid court orders shall be mailed or sent electronically as designated or on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checks or electronic payments shall be sent to the proper recipient no later than the eighth day of any given month or, at IVH’s option, five business days after the member’s last income deposit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Monthly income disbursements to a community spouse may be delayed or canceled if there is an overdue amount owed for support payments.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01.10.1.pdf" Type="http://schemas.openxmlformats.org/officeDocument/2006/relationships/hyperlink" Id="rId4"/>
    <Relationship TargetMode="External" Target="https://www.legis.iowa.gov/docs/iac/rule/801.10.14.pdf" Type="http://schemas.openxmlformats.org/officeDocument/2006/relationships/hyperlink" Id="rId5"/>
    <Relationship TargetMode="External" Target="https://www.legis.iowa.gov/docs/iac/rule/441.75.5.pdf" Type="http://schemas.openxmlformats.org/officeDocument/2006/relationships/hyperlink" Id="rId6"/>
    <Relationship TargetMode="External" Target="https://www.legis.iowa.gov/docs/iac/rule/801.10.30.pdf" Type="http://schemas.openxmlformats.org/officeDocument/2006/relationships/hyperlink" Id="rId7"/>
    <Relationship TargetMode="External" Target="https://www.legis.iowa.gov/docs/iac/rule/801.10.16.pdf" Type="http://schemas.openxmlformats.org/officeDocument/2006/relationships/hyperlink" Id="rId8"/>
    <Relationship TargetMode="External" Target="https://www.legis.iowa.gov/docs/iac/rule/801.10.14.pdf" Type="http://schemas.openxmlformats.org/officeDocument/2006/relationships/hyperlink" Id="rId9"/>
    <Relationship TargetMode="External" Target="https://www.legis.iowa.gov/docs/iac/rule/801.10.19.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