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801—10.15</w:t>
      </w:r>
      <w:r>
        <w:rPr>
          <w:rFonts w:ascii="Times New Roman" w:hAnsi="Times New Roman"/>
          <w:b/>
          <w:i w:val="false"/>
          <w:color w:val="000000"/>
          <w:sz w:val="22"/>
        </w:rPr>
        <w:t xml:space="preserve">(35D) </w:t>
      </w:r>
      <w:r>
        <w:rPr>
          <w:rFonts w:ascii="Times New Roman" w:hAnsi="Times New Roman"/>
          <w:b/>
          <w:i w:val="false"/>
          <w:color w:val="000000"/>
          <w:sz w:val="22"/>
        </w:rPr>
        <w:t xml:space="preserve">Per diems.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For members not participating in the Title XIX program, the per diem by which the billable days shall be multiplied shall be established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Nursing level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charge for care is the per diem rate calculated in January and July of each year for the preceding six-month period and is submitted by IVH to the Iowa Medicaid enterprise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updated per diem rate shall be effective semiannually on March 1 and September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or financial legal representatives shall be sent a notice one month in advance of the rate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Domiciliary level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cost of care per member shall be determined in January and July of each year for the preceding six-month period and calculated in a manner similar to the nursing level of care. This cost shall be the updated per diem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 diem rate shall be adjusted semiannually on March 1 and September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or financial legal representatives shall be sent a notice one month in advance of the rate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Veteran members for whom IVH receives a per diem from the DVA (under Title 38). IVH shall consider this per diem as a third-party reimbursement to the charge for care and shall be an offset to the member support bill. The offset of the per diem received (billed to DVA) shall be shown as an offset for the month billed. The provisions of 38 U.S.C. 1745(a), which were established by Section 211 of the Veterans Benefits, Health Care, and Information Technology Act of 2006 (Public Law 109-461), set forth a mechanism for paying a higher per diem rate for certain veterans who have service-connected disabilities and are receiving nursing home care in state homes. If IVH receives this higher per diem rate from the DVA, the member will not have a support charge from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The daily per diem charge shall be reduced by an amount equal to the appropriate Medicare Part B and Medicare Part D premiums paid by the enrolled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For members carrying other medical insurance upon admission and continuing to carry other medical insurance after admission. The member support charge shall be reduced by an amount equal to the other medical insurance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10.15(5)</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not eligible for Title XIX medical assistance. The member support charge shall be reduced in accordance with subrules </w:t>
      </w:r>
      <w:hyperlink r:id="rId4">
        <w:r>
          <w:rPr>
            <w:rStyle w:val="Hyperlink"/>
            <w:rFonts w:ascii="Times New Roman" w:hAnsi="Times New Roman"/>
            <w:b w:val="false"/>
            <w:i w:val="false"/>
            <w:color w:val="000000"/>
            <w:sz w:val="22"/>
          </w:rPr>
          <w:t>10.15(2)</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10.15(3)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10.15(4)</w:t>
        </w:r>
      </w:hyperlink>
      <w:r>
        <w:rPr>
          <w:rFonts w:ascii="Times New Roman" w:hAnsi="Times New Roman"/>
          <w:b w:val="false"/>
          <w:i w:val="false"/>
          <w:color w:val="000000"/>
          <w:sz w:val="22"/>
        </w:rPr>
        <w:t>, if applicable. The member shall then contribute all remaining available resources up to the charge for care.</w:t>
      </w:r>
    </w:p>
    <w:p>
      <w:pPr>
        <w:spacing w:before="0" w:after="0"/>
        <w:ind w:left="120"/>
        <w:jc w:val="both"/>
      </w:pPr>
      <w:r>
        <w:rPr>
          <w:rFonts w:ascii="Times New Roman" w:hAnsi="Times New Roman"/>
          <w:b w:val="false"/>
          <w:i w:val="false"/>
          <w:color w:val="000000"/>
          <w:sz w:val="22"/>
        </w:rPr>
        <w:t>Members receiving DVA pension and aid and attendance shall be considered as having used the amount equal to aid and attendance first in payment for their care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10.15(6)</w:t>
      </w:r>
      <w:r>
        <w:rPr>
          <w:rFonts w:ascii="Times New Roman" w:hAnsi="Times New Roman"/>
          <w:b w:val="false"/>
          <w:i w:val="false"/>
          <w:color w:val="000000"/>
          <w:sz w:val="22"/>
        </w:rPr>
        <w:t> </w:t>
      </w:r>
      <w:r>
        <w:rPr>
          <w:rFonts w:ascii="Times New Roman" w:hAnsi="Times New Roman"/>
          <w:b w:val="false"/>
          <w:i w:val="false"/>
          <w:color w:val="000000"/>
          <w:sz w:val="22"/>
        </w:rPr>
        <w:t>Payment of support is due within ten business days after the monthly support bill is received or ten business days after the member’s last income deposit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payment is not received by IVH within 30 days following the due date, a notice of discharge may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extenuating circumstances, the member or legal representative should meet with the commandant or designee to work out a schedule of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15.pdf" Type="http://schemas.openxmlformats.org/officeDocument/2006/relationships/hyperlink" Id="rId4"/>
    <Relationship TargetMode="External" Target="https://www.legis.iowa.gov/docs/iac/rule/801.10.15.pdf" Type="http://schemas.openxmlformats.org/officeDocument/2006/relationships/hyperlink" Id="rId5"/>
    <Relationship TargetMode="External" Target="https://www.legis.iowa.gov/docs/iac/rule/801.10.1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