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801—10.14</w:t>
      </w:r>
      <w:r>
        <w:rPr>
          <w:rFonts w:ascii="Times New Roman" w:hAnsi="Times New Roman"/>
          <w:b/>
          <w:i w:val="false"/>
          <w:color w:val="000000"/>
          <w:sz w:val="22"/>
        </w:rPr>
        <w:t xml:space="preserve">(35D) </w:t>
      </w:r>
      <w:r>
        <w:rPr>
          <w:rFonts w:ascii="Times New Roman" w:hAnsi="Times New Roman"/>
          <w:b/>
          <w:i w:val="false"/>
          <w:color w:val="000000"/>
          <w:sz w:val="22"/>
        </w:rPr>
        <w:t xml:space="preserve">Computation of member support. </w:t>
      </w:r>
      <w:r>
        <w:rPr>
          <w:rFonts w:ascii="Times New Roman" w:hAnsi="Times New Roman"/>
          <w:b w:val="false"/>
          <w:i w:val="false"/>
          <w:color w:val="000000"/>
          <w:sz w:val="22"/>
        </w:rPr>
        <w:t>As a condition of admittance to and residency in IVH, each member is required to contribute toward the cost of that member’s care based on that member’s resources and ability to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A monthly member support bill shall be sent to the member or legal representative charging the member for care in the previous month with any necessary adjustment for prior months. A member shall be required to pay member support charges from the member’s liquid assets and long-term care insurance benefits and from the member’s income. The monthly member support charge shall be the billable days, as set out in subrule </w:t>
      </w:r>
      <w:hyperlink r:id="rId4">
        <w:r>
          <w:rPr>
            <w:rStyle w:val="Hyperlink"/>
            <w:rFonts w:ascii="Times New Roman" w:hAnsi="Times New Roman"/>
            <w:b w:val="false"/>
            <w:i w:val="false"/>
            <w:color w:val="000000"/>
            <w:sz w:val="22"/>
          </w:rPr>
          <w:t>10.14(3)</w:t>
        </w:r>
      </w:hyperlink>
      <w:r>
        <w:rPr>
          <w:rFonts w:ascii="Times New Roman" w:hAnsi="Times New Roman"/>
          <w:b w:val="false"/>
          <w:i w:val="false"/>
          <w:color w:val="000000"/>
          <w:sz w:val="22"/>
        </w:rPr>
        <w:t xml:space="preserve">, multiplied by the appropriate per diem from rule </w:t>
      </w:r>
      <w:hyperlink r:id="rId5">
        <w:r>
          <w:rPr>
            <w:rStyle w:val="Hyperlink"/>
            <w:rFonts w:ascii="Times New Roman" w:hAnsi="Times New Roman"/>
            <w:b w:val="false"/>
            <w:i w:val="false"/>
            <w:color w:val="000000"/>
            <w:sz w:val="22"/>
          </w:rPr>
          <w:t>801—10.15</w:t>
        </w:r>
      </w:hyperlink>
      <w:r>
        <w:rPr>
          <w:rFonts w:ascii="Times New Roman" w:hAnsi="Times New Roman"/>
          <w:b w:val="false"/>
          <w:i w:val="false"/>
          <w:color w:val="000000"/>
          <w:sz w:val="22"/>
        </w:rPr>
        <w:t xml:space="preserve">(35D). This amount shall be reduced by any offsets as set out in subrules </w:t>
      </w:r>
      <w:hyperlink r:id="rId6">
        <w:r>
          <w:rPr>
            <w:rStyle w:val="Hyperlink"/>
            <w:rFonts w:ascii="Times New Roman" w:hAnsi="Times New Roman"/>
            <w:b w:val="false"/>
            <w:i w:val="false"/>
            <w:color w:val="000000"/>
            <w:sz w:val="22"/>
          </w:rPr>
          <w:t>10.15(2)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10.15(3)</w:t>
        </w:r>
      </w:hyperlink>
      <w:r>
        <w:rPr>
          <w:rFonts w:ascii="Times New Roman" w:hAnsi="Times New Roman"/>
          <w:b w:val="false"/>
          <w:i w:val="false"/>
          <w:color w:val="000000"/>
          <w:sz w:val="22"/>
        </w:rPr>
        <w:t>. The member or legal representative shall pay an amount not to exceed the amount calculated based on the resources available for the cost of care as set out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Title XIX residents. If a member is certified as eligible and participating in the Title XIX program, the amount of payment shall be determined by the department of human services income maintenance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Billable days (non-Title XIX). Billable days for members not participating in the Title XIX program shall be counted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days in the month for which the member received care (in-house).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leave days in excess of the 12 free days up through the fifty-ninth leave day. Any leave days in excess of 59 days shall be considered billable, and the member must pay the full support rate, not the amount determined by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first ten days of each hospitalization. After ten days, IVH assumes the authority to discharge the resident but reserves the right to negotiate an extension to the bed hold, if warranted, in the best interest of the resident and family, at the discretion of the commandant or designee. A hospital stay may occur more than once in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10.14.pdf" Type="http://schemas.openxmlformats.org/officeDocument/2006/relationships/hyperlink" Id="rId4"/>
    <Relationship TargetMode="External" Target="https://www.legis.iowa.gov/docs/iac/rule/801.10.15.pdf" Type="http://schemas.openxmlformats.org/officeDocument/2006/relationships/hyperlink" Id="rId5"/>
    <Relationship TargetMode="External" Target="https://www.legis.iowa.gov/docs/iac/rule/801.10.15.pdf" Type="http://schemas.openxmlformats.org/officeDocument/2006/relationships/hyperlink" Id="rId6"/>
    <Relationship TargetMode="External" Target="https://www.legis.iowa.gov/docs/iac/rule/801.10.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