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801—10.12</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has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timely report the existence of or changes in the member’s income, spouse’s income, assets or marital status, including the conversion of nonliquid assets to liquid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all benefits due (such as, but not limited to, Title XIX, DVA pension, DVA compensation, Social Security, private pension programs, or any combination), and accept the available billing programs offered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concerning the physical condition and, to the best of the member’s knowledge, accurate and complete information concerning present physical complaints, past illnesses, hospitalizations, medications and other matters related to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report unexpected changes in the member’s condition to the attending medical provider or other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participate in treatment planning, cooperate with the treatment team in carrying out the treatment plan, and to participate in the evaluation of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considerate of the rights of other members and staff and control behavior in respect to smoking, noise, and number of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treat other members and staff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respect the property of other members, staff, and IVH. A member or legal representative may be held financially responsible for any property damaged or destroyed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ask questions about anything that the member may not understand about the member’s care or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accept the consequences of the member’s actions if the member refuses treatment or fails to follow prescribed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To follow the rules and regulations of IVH regarding member care and conduct as set out in subrule </w:t>
      </w:r>
      <w:hyperlink r:id="rId4">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To keep scheduled appointments with staff. If unable to do so, the member is responsible for notifying appropriate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To maintain personal hygiene, including clothing, and maintain personal living area based on the member’s physical and mental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To follow all fire, safety and sanitation regulations as established by IVH and applicable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and verification of resources. A member or legal representative must fulfill the member support obligation for member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To carry Medicare Part B and Medicare Part D insurance if eligible. IVH shall buy the medical insurance portion of Medicare Part B and Medicare Part D if the member is not eligible to receive Medicare under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To delegate to IVH the authorization to enroll the member in Medicare Part B and Medicare Part D. The premium shall be deducted from the member’s social security or paid monthly with the member’s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To assign the benefits of Medicare Part B, Medicare Part D and other medical insurances to IVH. The cost of Medicare Part B, Medicare Part D and other medical insurances shall be used as an offset to the aggregate semiannual per diem rate calculation according to the particular level of care as calculated in January and July of each year for the preceding six months and effective March 1 and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is responsible for the full payment of the member’s support charges within the calendar month that the monthly support bill is received. Failure to pay a monthly support bill within 30 days of issuance may result in discharge from IVH unless prior arrangements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when a legal representative is responsible for the handling of the member’s resources, the legal representative shall keep any records necessary and provide all information or verification required for the computation of member support as set out in rule </w:t>
      </w:r>
      <w:hyperlink r:id="rId5">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 xml:space="preserve">(35D). Failure of the legal representative to do so may result in the discharge of the member. In some cases, IVH may act to have the commandant or designee established as the member’s fiduciary or agent as set out in subrule </w:t>
      </w:r>
      <w:hyperlink r:id="rId6">
        <w:r>
          <w:rPr>
            <w:rStyle w:val="Hyperlink"/>
            <w:rFonts w:ascii="Times New Roman" w:hAnsi="Times New Roman"/>
            <w:b w:val="false"/>
            <w:i w:val="false"/>
            <w:color w:val="000000"/>
            <w:sz w:val="22"/>
          </w:rPr>
          <w:t>10.11(4)</w:t>
        </w:r>
      </w:hyperlink>
      <w:r>
        <w:rPr>
          <w:rFonts w:ascii="Times New Roman" w:hAnsi="Times New Roman"/>
          <w:b w:val="false"/>
          <w:i w:val="false"/>
          <w:color w:val="000000"/>
          <w:sz w:val="22"/>
        </w:rPr>
        <w:t>. In those cases when a guardian or conservator of a member fails to keep necessary records or provide needed information or verification or to meet the member support obligation, IVH may notify the court of problems and request to establish another individual as guardian or conservator. The conservator of a member shall submit a copy of the annual conservatorship report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val="false"/>
          <w:color w:val="000000"/>
          <w:sz w:val="22"/>
        </w:rPr>
        <w:t>When a member temporarily needs a level of care that is not offered by IVH, the member shall be referred by IVH medical staff to a DVA medical center or other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who is treated at a DVA medical center has coinsurance to supplement Medicare, this coinsurance shall be used for the DVA medical center charges. IVH shall be responsible for all DVA medical center charges if the member does not carry coinsurance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chooses a medical facility other than a DVA medical center or other medical facility as referred by IVH medical staff, the member is responsible for costs resulting from care at the medical facility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40.pdf" Type="http://schemas.openxmlformats.org/officeDocument/2006/relationships/hyperlink" Id="rId4"/>
    <Relationship TargetMode="External" Target="https://www.legis.iowa.gov/docs/iac/rule/801.10.14.pdf" Type="http://schemas.openxmlformats.org/officeDocument/2006/relationships/hyperlink" Id="rId5"/>
    <Relationship TargetMode="External" Target="https://www.legis.iowa.gov/docs/iac/rule/801.10.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