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801—10.11</w:t>
      </w:r>
      <w:r>
        <w:rPr>
          <w:rFonts w:ascii="Times New Roman" w:hAnsi="Times New Roman"/>
          <w:b/>
          <w:i w:val="false"/>
          <w:color w:val="000000"/>
          <w:sz w:val="22"/>
        </w:rPr>
        <w:t xml:space="preserve">(35D) </w:t>
      </w:r>
      <w:r>
        <w:rPr>
          <w:rFonts w:ascii="Times New Roman" w:hAnsi="Times New Roman"/>
          <w:b/>
          <w:i w:val="false"/>
          <w:color w:val="000000"/>
          <w:sz w:val="22"/>
        </w:rPr>
        <w:t xml:space="preserve">Member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 rights shall be in accordance with those listed in </w:t>
      </w:r>
      <w:hyperlink r:id="rId4">
        <w:r>
          <w:rPr>
            <w:rStyle w:val="Hyperlink"/>
            <w:rFonts w:ascii="Times New Roman" w:hAnsi="Times New Roman"/>
            <w:b w:val="false"/>
            <w:i w:val="false"/>
            <w:color w:val="000000"/>
            <w:sz w:val="22"/>
          </w:rPr>
          <w:t>481—Chapter 57</w:t>
        </w:r>
      </w:hyperlink>
      <w:r>
        <w:rPr>
          <w:rFonts w:ascii="Times New Roman" w:hAnsi="Times New Roman"/>
          <w:b w:val="false"/>
          <w:i w:val="false"/>
          <w:color w:val="000000"/>
          <w:sz w:val="22"/>
        </w:rPr>
        <w:t xml:space="preserve"> for members residing in the residential care facility level of care, those listed in </w:t>
      </w:r>
      <w:hyperlink r:id="rId5">
        <w:r>
          <w:rPr>
            <w:rStyle w:val="Hyperlink"/>
            <w:rFonts w:ascii="Times New Roman" w:hAnsi="Times New Roman"/>
            <w:b w:val="false"/>
            <w:i w:val="false"/>
            <w:color w:val="000000"/>
            <w:sz w:val="22"/>
          </w:rPr>
          <w:t>481—Chapter 58</w:t>
        </w:r>
      </w:hyperlink>
      <w:r>
        <w:rPr>
          <w:rFonts w:ascii="Times New Roman" w:hAnsi="Times New Roman"/>
          <w:b w:val="false"/>
          <w:i w:val="false"/>
          <w:color w:val="000000"/>
          <w:sz w:val="22"/>
        </w:rPr>
        <w:t xml:space="preserve"> for members residing in the nursing facility level of care, and those noted in Department of Veterans Affairs, State Veterans Homes, Veterans Health Administration, pertaining to residents of state veterans homes.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w:t>
      </w:r>
      <w:r>
        <w:rPr>
          <w:rFonts w:ascii="Times New Roman" w:hAnsi="Times New Roman"/>
          <w:b w:val="false"/>
          <w:i w:val="false"/>
          <w:color w:val="000000"/>
          <w:sz w:val="22"/>
        </w:rPr>
        <w:t> </w:t>
      </w:r>
      <w:r>
        <w:rPr>
          <w:rFonts w:ascii="Times New Roman" w:hAnsi="Times New Roman"/>
          <w:b w:val="false"/>
          <w:i w:val="false"/>
          <w:color w:val="000000"/>
          <w:sz w:val="22"/>
        </w:rPr>
        <w:t>A member has the right to share a room with the member’s spouse when both members consent to the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w:t>
      </w:r>
      <w:r>
        <w:rPr>
          <w:rFonts w:ascii="Times New Roman" w:hAnsi="Times New Roman"/>
          <w:b w:val="false"/>
          <w:i w:val="false"/>
          <w:color w:val="000000"/>
          <w:sz w:val="22"/>
        </w:rPr>
        <w:t> </w:t>
      </w:r>
      <w:r>
        <w:rPr>
          <w:rFonts w:ascii="Times New Roman" w:hAnsi="Times New Roman"/>
          <w:b w:val="false"/>
          <w:i w:val="false"/>
          <w:color w:val="000000"/>
          <w:sz w:val="22"/>
        </w:rPr>
        <w:t>If a member is incompetent and not restored to legal capacity, or if the medical provider determines that a member is incapable of understanding and exercising these rights, the rights devolve to the member’s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10.11(4)</w:t>
      </w:r>
      <w:r>
        <w:rPr>
          <w:rFonts w:ascii="Times New Roman" w:hAnsi="Times New Roman"/>
          <w:b w:val="false"/>
          <w:i w:val="false"/>
          <w:color w:val="000000"/>
          <w:sz w:val="22"/>
        </w:rPr>
        <w:t> </w:t>
      </w:r>
      <w:r>
        <w:rPr>
          <w:rFonts w:ascii="Times New Roman" w:hAnsi="Times New Roman"/>
          <w:b w:val="false"/>
          <w:i w:val="false"/>
          <w:color w:val="000000"/>
          <w:sz w:val="22"/>
        </w:rPr>
        <w:t xml:space="preserve">In some cases, a member may be determined to be in need of an agent by the DVA, the Social Security Administration or a similar funding source. In these cases, the commandant or designee may serve as agent subject to Iowa Code section </w:t>
      </w:r>
      <w:hyperlink r:id="rId6">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All rights and responsibilities regarding the financial awards shall devolve to the commandant or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57.pdf" Type="http://schemas.openxmlformats.org/officeDocument/2006/relationships/hyperlink" Id="rId4"/>
    <Relationship TargetMode="External" Target="https://www.legis.iowa.gov/docs/iac/chapter/481.58.pdf" Type="http://schemas.openxmlformats.org/officeDocument/2006/relationships/hyperlink" Id="rId5"/>
    <Relationship TargetMode="External" Target="https://www.legis.iowa.gov/docs/ico/chapter/135C.24.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