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801—10.1</w:t>
      </w:r>
      <w:r>
        <w:rPr>
          <w:rFonts w:ascii="Times New Roman" w:hAnsi="Times New Roman"/>
          <w:b/>
          <w:i w:val="false"/>
          <w:color w:val="000000"/>
          <w:sz w:val="22"/>
        </w:rPr>
        <w:t xml:space="preserve">(35D) </w:t>
      </w:r>
      <w:r>
        <w:rPr>
          <w:rFonts w:ascii="Times New Roman" w:hAnsi="Times New Roman"/>
          <w:b/>
          <w:i w:val="false"/>
          <w:color w:val="000000"/>
          <w:sz w:val="22"/>
        </w:rPr>
        <w:t xml:space="preserve">Definitions relevant to Iowa Veterans Home. </w:t>
      </w:r>
      <w:r>
        <w:rPr>
          <w:rFonts w:ascii="Times New Roman" w:hAnsi="Times New Roman"/>
          <w:b w:val="false"/>
          <w:i w:val="false"/>
          <w:color w:val="000000"/>
          <w:sz w:val="22"/>
        </w:rPr>
        <w:t>The following definitions are unique to rules pertaining to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“Acute alcoholic”</w:t>
      </w:r>
      <w:r>
        <w:rPr>
          <w:rFonts w:ascii="Times New Roman" w:hAnsi="Times New Roman"/>
          <w:b w:val="false"/>
          <w:i w:val="false"/>
          <w:color w:val="000000"/>
          <w:sz w:val="22"/>
        </w:rPr>
        <w:t> </w:t>
      </w:r>
      <w:r>
        <w:rPr>
          <w:rFonts w:ascii="Times New Roman" w:hAnsi="Times New Roman"/>
          <w:b w:val="false"/>
          <w:i w:val="false"/>
          <w:color w:val="000000"/>
          <w:sz w:val="22"/>
        </w:rPr>
        <w:t>means any disturbance of emotional equilibrium caused by the consumption of alcohol resulting in behavior not currently controllable.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“Acutely mentally ill”</w:t>
      </w:r>
      <w:r>
        <w:rPr>
          <w:rFonts w:ascii="Times New Roman" w:hAnsi="Times New Roman"/>
          <w:b w:val="false"/>
          <w:i w:val="false"/>
          <w:color w:val="000000"/>
          <w:sz w:val="22"/>
        </w:rPr>
        <w:t> </w:t>
      </w:r>
      <w:r>
        <w:rPr>
          <w:rFonts w:ascii="Times New Roman" w:hAnsi="Times New Roman"/>
          <w:b w:val="false"/>
          <w:i w:val="false"/>
          <w:color w:val="000000"/>
          <w:sz w:val="22"/>
        </w:rPr>
        <w:t>means any disturbance of emotional equilibrium manifested in maladaptive behavior and impaired functioning caused by genetic, physical, chemical, biological, psychological, social or cultural factors which requires hospitalization.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“Addicted to drugs”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state of dependency as medically determined resulting from excessive or prolonged use of drugs as defined in Iowa Code chapter </w:t>
      </w:r>
      <w:hyperlink r:id="rId4">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“Admissions committee”</w:t>
      </w:r>
      <w:r>
        <w:rPr>
          <w:rFonts w:ascii="Times New Roman" w:hAnsi="Times New Roman"/>
          <w:b w:val="false"/>
          <w:i w:val="false"/>
          <w:color w:val="000000"/>
          <w:sz w:val="22"/>
        </w:rPr>
        <w:t> </w:t>
      </w:r>
      <w:r>
        <w:rPr>
          <w:rFonts w:ascii="Times New Roman" w:hAnsi="Times New Roman"/>
          <w:b w:val="false"/>
          <w:i w:val="false"/>
          <w:color w:val="000000"/>
          <w:sz w:val="22"/>
        </w:rPr>
        <w:t>means the committee appointed by the commandant to review applications to determine eligibility for admission and appropriate level and category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“Admissions coordinator”</w:t>
      </w:r>
      <w:r>
        <w:rPr>
          <w:rFonts w:ascii="Times New Roman" w:hAnsi="Times New Roman"/>
          <w:b w:val="false"/>
          <w:i w:val="false"/>
          <w:color w:val="000000"/>
          <w:sz w:val="22"/>
        </w:rPr>
        <w:t> </w:t>
      </w:r>
      <w:r>
        <w:rPr>
          <w:rFonts w:ascii="Times New Roman" w:hAnsi="Times New Roman"/>
          <w:b w:val="false"/>
          <w:i w:val="false"/>
          <w:color w:val="000000"/>
          <w:sz w:val="22"/>
        </w:rPr>
        <w:t>means the individual responsible for the coordination of the admissions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w:t>
      </w:r>
      <w:r>
        <w:rPr>
          <w:rFonts w:ascii="Times New Roman" w:hAnsi="Times New Roman"/>
          <w:b w:val="false"/>
          <w:i w:val="false"/>
          <w:color w:val="000000"/>
          <w:sz w:val="22"/>
        </w:rPr>
        <w:t> </w:t>
      </w:r>
      <w:r>
        <w:rPr>
          <w:rFonts w:ascii="Times New Roman" w:hAnsi="Times New Roman"/>
          <w:b w:val="false"/>
          <w:i w:val="false"/>
          <w:color w:val="000000"/>
          <w:sz w:val="22"/>
        </w:rPr>
        <w:t>means a person who is applying for admission into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“Assets”</w:t>
      </w:r>
      <w:r>
        <w:rPr>
          <w:rFonts w:ascii="Times New Roman" w:hAnsi="Times New Roman"/>
          <w:b w:val="false"/>
          <w:i w:val="false"/>
          <w:color w:val="000000"/>
          <w:sz w:val="22"/>
        </w:rPr>
        <w:t> </w:t>
      </w:r>
      <w:r>
        <w:rPr>
          <w:rFonts w:ascii="Times New Roman" w:hAnsi="Times New Roman"/>
          <w:b w:val="false"/>
          <w:i w:val="false"/>
          <w:color w:val="000000"/>
          <w:sz w:val="22"/>
        </w:rPr>
        <w:t>means items of value held by, or on behalf of, an applicant or member. Assets include, but are not limited to, cash, savings and checking accounts; stocks; bonds; contracts for sale of property; homestead or nonhomestead property. Nonrecurring windfall payments such as, but not limited to, inheritances; death benefits; insurance or tort claim settlements; and cash payments received from the conversion of a nonliquid asset to cash shall be considered assets upon receipt.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“At once”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“timely”</w:t>
      </w:r>
      <w:r>
        <w:rPr>
          <w:rFonts w:ascii="Times New Roman" w:hAnsi="Times New Roman"/>
          <w:b w:val="false"/>
          <w:i w:val="false"/>
          <w:color w:val="000000"/>
          <w:sz w:val="22"/>
        </w:rPr>
        <w:t> </w:t>
      </w:r>
      <w:r>
        <w:rPr>
          <w:rFonts w:ascii="Times New Roman" w:hAnsi="Times New Roman"/>
          <w:b w:val="false"/>
          <w:i w:val="false"/>
          <w:color w:val="000000"/>
          <w:sz w:val="22"/>
        </w:rPr>
        <w:t>means within ten calendar days.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“Collaborative care plan”</w:t>
      </w:r>
      <w:r>
        <w:rPr>
          <w:rFonts w:ascii="Times New Roman" w:hAnsi="Times New Roman"/>
          <w:b w:val="false"/>
          <w:i w:val="false"/>
          <w:color w:val="000000"/>
          <w:sz w:val="22"/>
        </w:rPr>
        <w:t> </w:t>
      </w:r>
      <w:r>
        <w:rPr>
          <w:rFonts w:ascii="Times New Roman" w:hAnsi="Times New Roman"/>
          <w:b w:val="false"/>
          <w:i w:val="false"/>
          <w:color w:val="000000"/>
          <w:sz w:val="22"/>
        </w:rPr>
        <w:t>means the plan of care developed for a member by the resident care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“Commandant”</w:t>
      </w:r>
      <w:r>
        <w:rPr>
          <w:rFonts w:ascii="Times New Roman" w:hAnsi="Times New Roman"/>
          <w:b w:val="false"/>
          <w:i w:val="false"/>
          <w:color w:val="000000"/>
          <w:sz w:val="22"/>
        </w:rPr>
        <w:t> </w:t>
      </w:r>
      <w:r>
        <w:rPr>
          <w:rFonts w:ascii="Times New Roman" w:hAnsi="Times New Roman"/>
          <w:b w:val="false"/>
          <w:i w:val="false"/>
          <w:color w:val="000000"/>
          <w:sz w:val="22"/>
        </w:rPr>
        <w:t>means the chief executive officer of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“Commission”</w:t>
      </w:r>
      <w:r>
        <w:rPr>
          <w:rFonts w:ascii="Times New Roman" w:hAnsi="Times New Roman"/>
          <w:b w:val="false"/>
          <w:i w:val="false"/>
          <w:color w:val="000000"/>
          <w:sz w:val="22"/>
        </w:rPr>
        <w:t> </w:t>
      </w:r>
      <w:r>
        <w:rPr>
          <w:rFonts w:ascii="Times New Roman" w:hAnsi="Times New Roman"/>
          <w:b w:val="false"/>
          <w:i w:val="false"/>
          <w:color w:val="000000"/>
          <w:sz w:val="22"/>
        </w:rPr>
        <w:t>means the Iowa commission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“Continuously disruptive”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any behavior, on a recurring basis, which has been documented by Iowa Veterans Home staff, that causes harm to a member or staff or conflicts with the member responsibilities set forth in subrule </w:t>
      </w:r>
      <w:hyperlink r:id="rId5">
        <w:r>
          <w:rPr>
            <w:rStyle w:val="Hyperlink"/>
            <w:rFonts w:ascii="Times New Roman" w:hAnsi="Times New Roman"/>
            <w:b w:val="false"/>
            <w:i w:val="false"/>
            <w:color w:val="000000"/>
            <w:sz w:val="22"/>
          </w:rPr>
          <w:t>10.12(1)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“Countable asset”</w:t>
      </w:r>
      <w:r>
        <w:rPr>
          <w:rFonts w:ascii="Times New Roman" w:hAnsi="Times New Roman"/>
          <w:b w:val="false"/>
          <w:i w:val="false"/>
          <w:color w:val="000000"/>
          <w:sz w:val="22"/>
        </w:rPr>
        <w:t> </w:t>
      </w:r>
      <w:r>
        <w:rPr>
          <w:rFonts w:ascii="Times New Roman" w:hAnsi="Times New Roman"/>
          <w:b w:val="false"/>
          <w:i w:val="false"/>
          <w:color w:val="000000"/>
          <w:sz w:val="22"/>
        </w:rPr>
        <w:t>means an asset to be considered in calculation of member support obligation.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“Dangerous to self or others”</w:t>
      </w:r>
      <w:r>
        <w:rPr>
          <w:rFonts w:ascii="Times New Roman" w:hAnsi="Times New Roman"/>
          <w:b w:val="false"/>
          <w:i w:val="false"/>
          <w:color w:val="000000"/>
          <w:sz w:val="22"/>
        </w:rPr>
        <w:t> </w:t>
      </w:r>
      <w:r>
        <w:rPr>
          <w:rFonts w:ascii="Times New Roman" w:hAnsi="Times New Roman"/>
          <w:b w:val="false"/>
          <w:i w:val="false"/>
          <w:color w:val="000000"/>
          <w:sz w:val="22"/>
        </w:rPr>
        <w:t>means any activity by a member which would result in injury to the member or others.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“Dependent”</w:t>
      </w:r>
      <w:r>
        <w:rPr>
          <w:rFonts w:ascii="Times New Roman" w:hAnsi="Times New Roman"/>
          <w:b w:val="false"/>
          <w:i w:val="false"/>
          <w:color w:val="000000"/>
          <w:sz w:val="22"/>
        </w:rPr>
        <w:t> </w:t>
      </w:r>
      <w:r>
        <w:rPr>
          <w:rFonts w:ascii="Times New Roman" w:hAnsi="Times New Roman"/>
          <w:b w:val="false"/>
          <w:i w:val="false"/>
          <w:color w:val="000000"/>
          <w:sz w:val="22"/>
        </w:rPr>
        <w:t>means a person for whose financial support an applicant or member is legally responsible or obligated.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“Diversion”</w:t>
      </w:r>
      <w:r>
        <w:rPr>
          <w:rFonts w:ascii="Times New Roman" w:hAnsi="Times New Roman"/>
          <w:b w:val="false"/>
          <w:i w:val="false"/>
          <w:color w:val="000000"/>
          <w:sz w:val="22"/>
        </w:rPr>
        <w:t> </w:t>
      </w:r>
      <w:r>
        <w:rPr>
          <w:rFonts w:ascii="Times New Roman" w:hAnsi="Times New Roman"/>
          <w:b w:val="false"/>
          <w:i w:val="false"/>
          <w:color w:val="000000"/>
          <w:sz w:val="22"/>
        </w:rPr>
        <w:t>means income that is transferred to a spouse before the member support is determined.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“DVA”</w:t>
      </w:r>
      <w:r>
        <w:rPr>
          <w:rFonts w:ascii="Times New Roman" w:hAnsi="Times New Roman"/>
          <w:b w:val="false"/>
          <w:i w:val="false"/>
          <w:color w:val="000000"/>
          <w:sz w:val="22"/>
        </w:rPr>
        <w:t> </w:t>
      </w:r>
      <w:r>
        <w:rPr>
          <w:rFonts w:ascii="Times New Roman" w:hAnsi="Times New Roman"/>
          <w:b w:val="false"/>
          <w:i w:val="false"/>
          <w:color w:val="000000"/>
          <w:sz w:val="22"/>
        </w:rPr>
        <w:t>means the U.S. Department of Veterans Affairs.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“Free time”</w:t>
      </w:r>
      <w:r>
        <w:rPr>
          <w:rFonts w:ascii="Times New Roman" w:hAnsi="Times New Roman"/>
          <w:b w:val="false"/>
          <w:i w:val="false"/>
          <w:color w:val="000000"/>
          <w:sz w:val="22"/>
        </w:rPr>
        <w:t> </w:t>
      </w:r>
      <w:r>
        <w:rPr>
          <w:rFonts w:ascii="Times New Roman" w:hAnsi="Times New Roman"/>
          <w:b w:val="false"/>
          <w:i w:val="false"/>
          <w:color w:val="000000"/>
          <w:sz w:val="22"/>
        </w:rPr>
        <w:t>means 12 days of leave time each calendar year for which the member is not charged for care during absence.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“Full support rate”</w:t>
      </w:r>
      <w:r>
        <w:rPr>
          <w:rFonts w:ascii="Times New Roman" w:hAnsi="Times New Roman"/>
          <w:b w:val="false"/>
          <w:i w:val="false"/>
          <w:color w:val="000000"/>
          <w:sz w:val="22"/>
        </w:rPr>
        <w:t> </w:t>
      </w:r>
      <w:r>
        <w:rPr>
          <w:rFonts w:ascii="Times New Roman" w:hAnsi="Times New Roman"/>
          <w:b w:val="false"/>
          <w:i w:val="false"/>
          <w:color w:val="000000"/>
          <w:sz w:val="22"/>
        </w:rPr>
        <w:t>means the maximum daily rate of support times the billable days of care received in any month less any offsets.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“Gold Star parent”</w:t>
      </w:r>
      <w:r>
        <w:rPr>
          <w:rFonts w:ascii="Times New Roman" w:hAnsi="Times New Roman"/>
          <w:b w:val="false"/>
          <w:i w:val="false"/>
          <w:color w:val="000000"/>
          <w:sz w:val="22"/>
        </w:rPr>
        <w:t> </w:t>
      </w:r>
      <w:r>
        <w:rPr>
          <w:rFonts w:ascii="Times New Roman" w:hAnsi="Times New Roman"/>
          <w:b w:val="false"/>
          <w:i w:val="false"/>
          <w:color w:val="000000"/>
          <w:sz w:val="22"/>
        </w:rPr>
        <w:t>means a parent of a deceased member of the United States armed forces who died while serving on active duty during a time of military conflict or who died as a result of such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“Honorable discharge”</w:t>
      </w:r>
      <w:r>
        <w:rPr>
          <w:rFonts w:ascii="Times New Roman" w:hAnsi="Times New Roman"/>
          <w:b w:val="false"/>
          <w:i w:val="false"/>
          <w:color w:val="000000"/>
          <w:sz w:val="22"/>
        </w:rPr>
        <w:t> </w:t>
      </w:r>
      <w:r>
        <w:rPr>
          <w:rFonts w:ascii="Times New Roman" w:hAnsi="Times New Roman"/>
          <w:b w:val="false"/>
          <w:i w:val="false"/>
          <w:color w:val="000000"/>
          <w:sz w:val="22"/>
        </w:rPr>
        <w:t>means separation or retirement from active military service. The veteran must be eligible for medical care in the DVA system (excluding financial eligibility). Honorable discharge includes general discharges under honorable conditions.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“Income”</w:t>
      </w:r>
      <w:r>
        <w:rPr>
          <w:rFonts w:ascii="Times New Roman" w:hAnsi="Times New Roman"/>
          <w:b w:val="false"/>
          <w:i w:val="false"/>
          <w:color w:val="000000"/>
          <w:sz w:val="22"/>
        </w:rPr>
        <w:t> </w:t>
      </w:r>
      <w:r>
        <w:rPr>
          <w:rFonts w:ascii="Times New Roman" w:hAnsi="Times New Roman"/>
          <w:b w:val="false"/>
          <w:i w:val="false"/>
          <w:color w:val="000000"/>
          <w:sz w:val="22"/>
        </w:rPr>
        <w:t>means money gained by labor or service, or money paid periodically to an applicant or member. Income includes, but is not limited to, disability, retirement pensions or benefits; interest, dividends, payments from long-term care insurance, or other income received from investments; income from property rentals; certain moneys related to real estate contracts; earnings from regular employment or self-employment enterprises.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“IVH”</w:t>
      </w:r>
      <w:r>
        <w:rPr>
          <w:rFonts w:ascii="Times New Roman" w:hAnsi="Times New Roman"/>
          <w:b w:val="false"/>
          <w:i w:val="false"/>
          <w:color w:val="000000"/>
          <w:sz w:val="22"/>
        </w:rPr>
        <w:t> </w:t>
      </w:r>
      <w:r>
        <w:rPr>
          <w:rFonts w:ascii="Times New Roman" w:hAnsi="Times New Roman"/>
          <w:b w:val="false"/>
          <w:i w:val="false"/>
          <w:color w:val="000000"/>
          <w:sz w:val="22"/>
        </w:rPr>
        <w:t>means the Iowa Veterans Home.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“Legal representative”</w:t>
      </w:r>
      <w:r>
        <w:rPr>
          <w:rFonts w:ascii="Times New Roman" w:hAnsi="Times New Roman"/>
          <w:b w:val="false"/>
          <w:i w:val="false"/>
          <w:color w:val="000000"/>
          <w:sz w:val="22"/>
        </w:rPr>
        <w:t> </w:t>
      </w:r>
      <w:r>
        <w:rPr>
          <w:rFonts w:ascii="Times New Roman" w:hAnsi="Times New Roman"/>
          <w:b w:val="false"/>
          <w:i w:val="false"/>
          <w:color w:val="000000"/>
          <w:sz w:val="22"/>
        </w:rPr>
        <w:t>for purposes of applicant or member personal and care decisions means durable power of attorney for health care, guardian, or next-of-kin (spouse, adult children, parents, adult siblings). For applicant or member financial decisions, “legal representative” means conservator, power of attorney, fiduciary or representative payee or next-of-kin (spouse, adult children, parents, adult siblings).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“Licensed nursing home administrator”</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duly licensed nursing home administrator pursuant to Iowa Code chapter </w:t>
      </w:r>
      <w:hyperlink r:id="rId6">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“Medical provider”</w:t>
      </w:r>
      <w:r>
        <w:rPr>
          <w:rFonts w:ascii="Times New Roman" w:hAnsi="Times New Roman"/>
          <w:b w:val="false"/>
          <w:i w:val="false"/>
          <w:color w:val="000000"/>
          <w:sz w:val="22"/>
        </w:rPr>
        <w:t> </w:t>
      </w:r>
      <w:r>
        <w:rPr>
          <w:rFonts w:ascii="Times New Roman" w:hAnsi="Times New Roman"/>
          <w:b w:val="false"/>
          <w:i w:val="false"/>
          <w:color w:val="000000"/>
          <w:sz w:val="22"/>
        </w:rPr>
        <w:t>means a doctor of medicine or osteopathic medicine who is licensed to practice in the state of Iowa. Except as defined by Iowa law, a medical provider also means an advanced registered nurse practitioner or physician associate who is licensed to practice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w:t>
      </w:r>
      <w:r>
        <w:rPr>
          <w:rFonts w:ascii="Times New Roman" w:hAnsi="Times New Roman"/>
          <w:b w:val="false"/>
          <w:i w:val="false"/>
          <w:color w:val="000000"/>
          <w:sz w:val="22"/>
        </w:rPr>
        <w:t> </w:t>
      </w:r>
      <w:r>
        <w:rPr>
          <w:rFonts w:ascii="Times New Roman" w:hAnsi="Times New Roman"/>
          <w:b w:val="false"/>
          <w:i w:val="false"/>
          <w:color w:val="000000"/>
          <w:sz w:val="22"/>
        </w:rPr>
        <w:t>means a resident of IVH.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“Member support”</w:t>
      </w:r>
      <w:r>
        <w:rPr>
          <w:rFonts w:ascii="Times New Roman" w:hAnsi="Times New Roman"/>
          <w:b w:val="false"/>
          <w:i w:val="false"/>
          <w:color w:val="000000"/>
          <w:sz w:val="22"/>
        </w:rPr>
        <w:t> </w:t>
      </w:r>
      <w:r>
        <w:rPr>
          <w:rFonts w:ascii="Times New Roman" w:hAnsi="Times New Roman"/>
          <w:b w:val="false"/>
          <w:i w:val="false"/>
          <w:color w:val="000000"/>
          <w:sz w:val="22"/>
        </w:rPr>
        <w:t>means the dollar amount which is billed monthly to the member or legal representative for the member’s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“PASRR”</w:t>
      </w:r>
      <w:r>
        <w:rPr>
          <w:rFonts w:ascii="Times New Roman" w:hAnsi="Times New Roman"/>
          <w:b w:val="false"/>
          <w:i w:val="false"/>
          <w:color w:val="000000"/>
          <w:sz w:val="22"/>
        </w:rPr>
        <w:t> </w:t>
      </w:r>
      <w:r>
        <w:rPr>
          <w:rFonts w:ascii="Times New Roman" w:hAnsi="Times New Roman"/>
          <w:b w:val="false"/>
          <w:i w:val="false"/>
          <w:color w:val="000000"/>
          <w:sz w:val="22"/>
        </w:rPr>
        <w:t>means preadmission screening and resident review.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“Resident care committee”</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“RCC”</w:t>
      </w:r>
      <w:r>
        <w:rPr>
          <w:rFonts w:ascii="Times New Roman" w:hAnsi="Times New Roman"/>
          <w:b w:val="false"/>
          <w:i w:val="false"/>
          <w:color w:val="000000"/>
          <w:sz w:val="22"/>
        </w:rPr>
        <w:t> </w:t>
      </w:r>
      <w:r>
        <w:rPr>
          <w:rFonts w:ascii="Times New Roman" w:hAnsi="Times New Roman"/>
          <w:b w:val="false"/>
          <w:i w:val="false"/>
          <w:color w:val="000000"/>
          <w:sz w:val="22"/>
        </w:rPr>
        <w:t>means the member, a social worker, a registered nurse, a dietitian, a medical provider, a recreation specialist and a mental health provider, as required, who are involved in reviewing the member’s assessment data and developing a collaborative care plan for the individual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“Resource”</w:t>
      </w:r>
      <w:r>
        <w:rPr>
          <w:rFonts w:ascii="Times New Roman" w:hAnsi="Times New Roman"/>
          <w:b w:val="false"/>
          <w:i w:val="false"/>
          <w:color w:val="000000"/>
          <w:sz w:val="22"/>
        </w:rPr>
        <w:t> </w:t>
      </w:r>
      <w:r>
        <w:rPr>
          <w:rFonts w:ascii="Times New Roman" w:hAnsi="Times New Roman"/>
          <w:b w:val="false"/>
          <w:i w:val="false"/>
          <w:color w:val="000000"/>
          <w:sz w:val="22"/>
        </w:rPr>
        <w:t>means assets and income.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“Spouse”</w:t>
      </w:r>
      <w:r>
        <w:rPr>
          <w:rFonts w:ascii="Times New Roman" w:hAnsi="Times New Roman"/>
          <w:b w:val="false"/>
          <w:i w:val="false"/>
          <w:color w:val="000000"/>
          <w:sz w:val="22"/>
        </w:rPr>
        <w:t> </w:t>
      </w:r>
      <w:r>
        <w:rPr>
          <w:rFonts w:ascii="Times New Roman" w:hAnsi="Times New Roman"/>
          <w:b w:val="false"/>
          <w:i w:val="false"/>
          <w:color w:val="000000"/>
          <w:sz w:val="22"/>
        </w:rPr>
        <w:t>means a person who is the legal or common-law wife or husband of a veteran.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“Surviving spouse”</w:t>
      </w:r>
      <w:r>
        <w:rPr>
          <w:rFonts w:ascii="Times New Roman" w:hAnsi="Times New Roman"/>
          <w:b w:val="false"/>
          <w:i w:val="false"/>
          <w:color w:val="000000"/>
          <w:sz w:val="22"/>
        </w:rPr>
        <w:t> </w:t>
      </w:r>
      <w:r>
        <w:rPr>
          <w:rFonts w:ascii="Times New Roman" w:hAnsi="Times New Roman"/>
          <w:b w:val="false"/>
          <w:i w:val="false"/>
          <w:color w:val="000000"/>
          <w:sz w:val="22"/>
        </w:rPr>
        <w:t>means a person who is the legal or common-law widow or widower of a veteran.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“Therapeutic activity”</w:t>
      </w:r>
      <w:r>
        <w:rPr>
          <w:rFonts w:ascii="Times New Roman" w:hAnsi="Times New Roman"/>
          <w:b w:val="false"/>
          <w:i w:val="false"/>
          <w:color w:val="000000"/>
          <w:sz w:val="22"/>
        </w:rPr>
        <w:t> </w:t>
      </w:r>
      <w:r>
        <w:rPr>
          <w:rFonts w:ascii="Times New Roman" w:hAnsi="Times New Roman"/>
          <w:b w:val="false"/>
          <w:i w:val="false"/>
          <w:color w:val="000000"/>
          <w:sz w:val="22"/>
        </w:rPr>
        <w:t>means an activity that is considered as treatment. A therapist shall determine that a particular activity is beneficial to the well-being of a member and shall include this determination in the member’s plan of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“Veteran”</w:t>
      </w:r>
      <w:r>
        <w:rPr>
          <w:rFonts w:ascii="Times New Roman" w:hAnsi="Times New Roman"/>
          <w:b w:val="false"/>
          <w:i w:val="false"/>
          <w:color w:val="000000"/>
          <w:sz w:val="22"/>
        </w:rPr>
        <w:t> </w:t>
      </w:r>
      <w:r>
        <w:rPr>
          <w:rFonts w:ascii="Times New Roman" w:hAnsi="Times New Roman"/>
          <w:b w:val="false"/>
          <w:i w:val="false"/>
          <w:color w:val="000000"/>
          <w:sz w:val="22"/>
        </w:rPr>
        <w:t>means a person who served in the active military and who was discharged or released therefrom under honorable conditions. Honorable and general discharges qualify a person as a veteran. The veteran must be eligible for medical care in the DVA system (excluding financial eligibility).</w:t>
      </w:r>
    </w:p>
    <w:p>
      <w:pPr>
        <w:spacing w:before="0" w:after="0"/>
        <w:ind w:left="120"/>
        <w:jc w:val="both"/>
      </w:pPr>
      <w:r>
        <w:rPr>
          <w:rFonts w:ascii="Times New Roman" w:hAnsi="Times New Roman"/>
          <w:b w:val="false"/>
          <w:i w:val="false"/>
          <w:color w:val="000000"/>
          <w:sz w:val="22"/>
        </w:rPr>
        <w:t>In addition, veteran includes a person who served in the merchant marine or as a civil service crew member between December 7, 1941, and August 15, 1945.</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“Visitation”</w:t>
      </w:r>
      <w:r>
        <w:rPr>
          <w:rFonts w:ascii="Times New Roman" w:hAnsi="Times New Roman"/>
          <w:b w:val="false"/>
          <w:i w:val="false"/>
          <w:color w:val="000000"/>
          <w:sz w:val="22"/>
        </w:rPr>
        <w:t> </w:t>
      </w:r>
      <w:r>
        <w:rPr>
          <w:rFonts w:ascii="Times New Roman" w:hAnsi="Times New Roman"/>
          <w:b w:val="false"/>
          <w:i w:val="false"/>
          <w:color w:val="000000"/>
          <w:sz w:val="22"/>
        </w:rPr>
        <w:t>is considered part of the individual’s therapeutic program. Visits are expected to benefit the individual’s treatment goals while meeting the security needs of the facility and ensuring the safety of the individual and visitor.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“Voluntary discharge”</w:t>
      </w:r>
      <w:r>
        <w:rPr>
          <w:rFonts w:ascii="Times New Roman" w:hAnsi="Times New Roman"/>
          <w:b w:val="false"/>
          <w:i w:val="false"/>
          <w:color w:val="000000"/>
          <w:sz w:val="22"/>
        </w:rPr>
        <w:t> </w:t>
      </w:r>
      <w:r>
        <w:rPr>
          <w:rFonts w:ascii="Times New Roman" w:hAnsi="Times New Roman"/>
          <w:b w:val="false"/>
          <w:i w:val="false"/>
          <w:color w:val="000000"/>
          <w:sz w:val="22"/>
        </w:rPr>
        <w:t>means a member wishes to terminate the member’s association with IVH on a permanent basis. This includes discharge for medical reasons which have been approved by a qualified medical provider. All other discharges are involuntary.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8014B</w:t>
      </w:r>
      <w:r>
        <w:rPr>
          <w:rFonts w:ascii="Times New Roman" w:hAnsi="Times New Roman"/>
          <w:b w:val="false"/>
          <w:i w:val="false"/>
          <w:color w:val="000000"/>
          <w:sz w:val="16"/>
        </w:rPr>
        <w:t>, IAB 7/29/09, effective 7/10/09</w:t>
      </w:r>
      <w:r>
        <w:rPr>
          <w:rFonts w:ascii="Times New Roman" w:hAnsi="Times New Roman"/>
          <w:b w:val="false"/>
          <w:i w:val="false"/>
          <w:color w:val="000000"/>
          <w:sz w:val="16"/>
        </w:rPr>
        <w:t xml:space="preserve">; </w:t>
      </w:r>
      <w:r>
        <w:rPr>
          <w:rFonts w:ascii="Times New Roman" w:hAnsi="Times New Roman"/>
          <w:b/>
          <w:i w:val="false"/>
          <w:color w:val="000000"/>
          <w:sz w:val="16"/>
        </w:rPr>
        <w:t>ARC 9689B</w:t>
      </w:r>
      <w:r>
        <w:rPr>
          <w:rFonts w:ascii="Times New Roman" w:hAnsi="Times New Roman"/>
          <w:b w:val="false"/>
          <w:i w:val="false"/>
          <w:color w:val="000000"/>
          <w:sz w:val="16"/>
        </w:rPr>
        <w:t>, IAB 8/24/11, effective 9/28/11</w:t>
      </w:r>
      <w:r>
        <w:rPr>
          <w:rFonts w:ascii="Times New Roman" w:hAnsi="Times New Roman"/>
          <w:b w:val="false"/>
          <w:i w:val="false"/>
          <w:color w:val="000000"/>
          <w:sz w:val="16"/>
        </w:rPr>
        <w:t xml:space="preserve">; </w:t>
      </w:r>
      <w:r>
        <w:rPr>
          <w:rFonts w:ascii="Times New Roman" w:hAnsi="Times New Roman"/>
          <w:b/>
          <w:i w:val="false"/>
          <w:color w:val="000000"/>
          <w:sz w:val="16"/>
        </w:rPr>
        <w:t>ARC 1157C</w:t>
      </w:r>
      <w:r>
        <w:rPr>
          <w:rFonts w:ascii="Times New Roman" w:hAnsi="Times New Roman"/>
          <w:b w:val="false"/>
          <w:i w:val="false"/>
          <w:color w:val="000000"/>
          <w:sz w:val="16"/>
        </w:rPr>
        <w:t>, IAB 10/30/13, effective 12/4/13</w:t>
      </w:r>
      <w:r>
        <w:rPr>
          <w:rFonts w:ascii="Times New Roman" w:hAnsi="Times New Roman"/>
          <w:b w:val="false"/>
          <w:i w:val="false"/>
          <w:color w:val="000000"/>
          <w:sz w:val="16"/>
        </w:rPr>
        <w:t xml:space="preserve">; see Delay note at end of chapter; </w:t>
      </w:r>
      <w:r>
        <w:rPr>
          <w:rFonts w:ascii="Times New Roman" w:hAnsi="Times New Roman"/>
          <w:b/>
          <w:i w:val="false"/>
          <w:color w:val="000000"/>
          <w:sz w:val="16"/>
        </w:rPr>
        <w:t>ARC 2675C</w:t>
      </w:r>
      <w:r>
        <w:rPr>
          <w:rFonts w:ascii="Times New Roman" w:hAnsi="Times New Roman"/>
          <w:b w:val="false"/>
          <w:i w:val="false"/>
          <w:color w:val="000000"/>
          <w:sz w:val="16"/>
        </w:rPr>
        <w:t>, IAB 8/17/16, effective 9/21/16</w:t>
      </w:r>
      <w:r>
        <w:rPr>
          <w:rFonts w:ascii="Times New Roman" w:hAnsi="Times New Roman"/>
          <w:b w:val="false"/>
          <w:i w:val="false"/>
          <w:color w:val="000000"/>
          <w:sz w:val="16"/>
        </w:rPr>
        <w:t xml:space="preserve">; </w:t>
      </w:r>
      <w:r>
        <w:rPr>
          <w:rFonts w:ascii="Times New Roman" w:hAnsi="Times New Roman"/>
          <w:b/>
          <w:i w:val="false"/>
          <w:color w:val="000000"/>
          <w:sz w:val="16"/>
        </w:rPr>
        <w:t>ARC 5800C</w:t>
      </w:r>
      <w:r>
        <w:rPr>
          <w:rFonts w:ascii="Times New Roman" w:hAnsi="Times New Roman"/>
          <w:b w:val="false"/>
          <w:i w:val="false"/>
          <w:color w:val="000000"/>
          <w:sz w:val="16"/>
        </w:rPr>
        <w:t>, IAB 7/28/21, effective 9/1/21</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7/22/26</w:t>
      </w:r>
      <w:r>
        <w:rPr>
          <w:rFonts w:ascii="Times New Roman" w:hAnsi="Times New Roman"/>
          <w:b w:val="false"/>
          <w:i w:val="false"/>
          <w:color w:val="000000"/>
          <w:sz w:val="16"/>
        </w:rPr>
        <w:t>]</w:t>
      </w:r>
    </w:p>
    <w:sectPr>
      <w:footerReference r:id="rId7"/>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24.pdf" Type="http://schemas.openxmlformats.org/officeDocument/2006/relationships/hyperlink" Id="rId4"/>
    <Relationship TargetMode="External" Target="https://www.legis.iowa.gov/docs/iac/rule/801.10.12.pdf" Type="http://schemas.openxmlformats.org/officeDocument/2006/relationships/hyperlink" Id="rId5"/>
    <Relationship TargetMode="External" Target="https://www.legis.iowa.gov/docs/ico/chapter/147.pdf" Type="http://schemas.openxmlformats.org/officeDocument/2006/relationships/hyperlink" Id="rId6"/>
    <Relationship Target="footer.xml" Type="http://schemas.openxmlformats.org/officeDocument/2006/relationships/footer"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