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761—20.8</w:t>
      </w:r>
      <w:r>
        <w:rPr>
          <w:rFonts w:ascii="Times New Roman" w:hAnsi="Times New Roman"/>
          <w:b/>
          <w:i w:val="false"/>
          <w:color w:val="000000"/>
          <w:sz w:val="22"/>
        </w:rPr>
        <w:t xml:space="preserve">(307) </w:t>
      </w:r>
      <w:r>
        <w:rPr>
          <w:rFonts w:ascii="Times New Roman" w:hAnsi="Times New Roman"/>
          <w:b/>
          <w:i w:val="false"/>
          <w:color w:val="000000"/>
          <w:sz w:val="22"/>
        </w:rPr>
        <w:t xml:space="preserve">Conflicts with federal requirements. </w:t>
      </w:r>
      <w:r>
        <w:rPr>
          <w:rFonts w:ascii="Times New Roman" w:hAnsi="Times New Roman"/>
          <w:b w:val="false"/>
          <w:i w:val="false"/>
          <w:color w:val="000000"/>
          <w:sz w:val="22"/>
        </w:rPr>
        <w:t>If any provision of this chapter would cause a denial of federal funds or services or would otherwise be inconsistent with federal law, federal law shall be adhered to, but only to the extent necessary to prevent denial of the federal funds or services or to eliminate the inconsistency with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