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761—20.6</w:t>
      </w:r>
      <w:r>
        <w:rPr>
          <w:rFonts w:ascii="Times New Roman" w:hAnsi="Times New Roman"/>
          <w:b/>
          <w:i w:val="false"/>
          <w:color w:val="000000"/>
          <w:sz w:val="22"/>
        </w:rPr>
        <w:t xml:space="preserve">(307) </w:t>
      </w:r>
      <w:r>
        <w:rPr>
          <w:rFonts w:ascii="Times New Roman" w:hAnsi="Times New Roman"/>
          <w:b/>
          <w:i w:val="false"/>
          <w:color w:val="000000"/>
          <w:sz w:val="22"/>
        </w:rPr>
        <w:t xml:space="preserve">Professional and technical services. </w:t>
      </w:r>
      <w:r>
        <w:rPr>
          <w:rFonts w:ascii="Times New Roman" w:hAnsi="Times New Roman"/>
          <w:b w:val="false"/>
          <w:i w:val="false"/>
          <w:color w:val="000000"/>
          <w:sz w:val="22"/>
        </w:rPr>
        <w:t xml:space="preserve">This rule applies to professional and technical services procured through the purchasing section using formal solicitation, informal solicitation or negotiation methods outlined in rules </w:t>
      </w:r>
      <w:hyperlink r:id="rId4">
        <w:r>
          <w:rPr>
            <w:rStyle w:val="Hyperlink"/>
            <w:rFonts w:ascii="Times New Roman" w:hAnsi="Times New Roman"/>
            <w:b w:val="false"/>
            <w:i w:val="false"/>
            <w:color w:val="000000"/>
            <w:sz w:val="22"/>
          </w:rPr>
          <w:t>761—20.3(307)</w:t>
        </w:r>
      </w:hyperlink>
      <w:r>
        <w:rPr>
          <w:rFonts w:ascii="Times New Roman" w:hAnsi="Times New Roman"/>
          <w:b w:val="false"/>
          <w:i w:val="false"/>
          <w:color w:val="000000"/>
          <w:sz w:val="22"/>
        </w:rPr>
        <w:t xml:space="preserve"> through </w:t>
      </w:r>
      <w:hyperlink r:id="rId5">
        <w:r>
          <w:rPr>
            <w:rStyle w:val="Hyperlink"/>
            <w:rFonts w:ascii="Times New Roman" w:hAnsi="Times New Roman"/>
            <w:b w:val="false"/>
            <w:i w:val="false"/>
            <w:color w:val="000000"/>
            <w:sz w:val="22"/>
          </w:rPr>
          <w:t>761—20.6(307)</w:t>
        </w:r>
      </w:hyperlink>
      <w:r>
        <w:rPr>
          <w:rFonts w:ascii="Times New Roman" w:hAnsi="Times New Roman"/>
          <w:b w:val="false"/>
          <w:i w:val="false"/>
          <w:color w:val="000000"/>
          <w:sz w:val="22"/>
        </w:rPr>
        <w:t xml:space="preserve">. The purchasing section will use the request for proposal (RFP) process, excluding cost evaluation, to ensure qualification-based selection for architectural, landscape architectural, and engineering services. Professional and technical services procured by the project management bureau are covered by rule </w:t>
      </w:r>
      <w:hyperlink r:id="rId6">
        <w:r>
          <w:rPr>
            <w:rStyle w:val="Hyperlink"/>
            <w:rFonts w:ascii="Times New Roman" w:hAnsi="Times New Roman"/>
            <w:b w:val="false"/>
            <w:i w:val="false"/>
            <w:color w:val="000000"/>
            <w:sz w:val="22"/>
          </w:rPr>
          <w:t>761—20.9(307)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20.6(1)</w:t>
      </w:r>
      <w:r>
        <w:rPr>
          <w:rFonts w:ascii="Times New Roman" w:hAnsi="Times New Roman"/>
          <w:b w:val="false"/>
          <w:i w:val="false"/>
          <w:color w:val="000000"/>
          <w:sz w:val="22"/>
        </w:rPr>
        <w:t> </w:t>
      </w:r>
      <w:r>
        <w:rPr>
          <w:rFonts w:ascii="Times New Roman" w:hAnsi="Times New Roman"/>
          <w:b w:val="false"/>
          <w:i/>
          <w:color w:val="000000"/>
          <w:sz w:val="22"/>
        </w:rPr>
        <w:t xml:space="preserve">RFP. </w:t>
      </w:r>
      <w:r>
        <w:rPr>
          <w:rFonts w:ascii="Times New Roman" w:hAnsi="Times New Roman"/>
          <w:b w:val="false"/>
          <w:i w:val="false"/>
          <w:color w:val="000000"/>
          <w:sz w:val="22"/>
        </w:rPr>
        <w:t>A solicitation prepared by the department will include at least the minimum needs for the type of goods or services sought. The solicitation is sent to prospective offerors and is publicly posted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w:t>
      </w:r>
      <w:r>
        <w:rPr>
          <w:rFonts w:ascii="Times New Roman" w:hAnsi="Times New Roman"/>
          <w:b w:val="false"/>
          <w:i w:val="false"/>
          <w:color w:val="000000"/>
          <w:sz w:val="22"/>
        </w:rPr>
        <w:t> </w:t>
      </w:r>
      <w:r>
        <w:rPr>
          <w:rFonts w:ascii="Times New Roman" w:hAnsi="Times New Roman"/>
          <w:b w:val="false"/>
          <w:i/>
          <w:color w:val="000000"/>
          <w:sz w:val="22"/>
        </w:rPr>
        <w:t xml:space="preserve">Evaluation committee. </w:t>
      </w:r>
      <w:r>
        <w:rPr>
          <w:rFonts w:ascii="Times New Roman" w:hAnsi="Times New Roman"/>
          <w:b w:val="false"/>
          <w:i w:val="false"/>
          <w:color w:val="000000"/>
          <w:sz w:val="22"/>
        </w:rPr>
        <w:t>A committee is established for the purpose of reviewing and evaluating proposed responses based on a set of criteria as outlined in the RFP. “Evaluation criteria” will define categories with assigned weighted values to be used as a scoring measure to determine the best overall solution for the department based on technical expertise and price,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Overall content of written submitted proposal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Business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Work experience in mandatory skill 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Presentation or demonstration.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Cost (will not be used for the selection of architectural, landscape architectural, or engineering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20.6(3)</w:t>
      </w:r>
      <w:r>
        <w:rPr>
          <w:rFonts w:ascii="Times New Roman" w:hAnsi="Times New Roman"/>
          <w:b w:val="false"/>
          <w:i w:val="false"/>
          <w:color w:val="000000"/>
          <w:sz w:val="22"/>
        </w:rPr>
        <w:t> </w:t>
      </w:r>
      <w:r>
        <w:rPr>
          <w:rFonts w:ascii="Times New Roman" w:hAnsi="Times New Roman"/>
          <w:b w:val="false"/>
          <w:i/>
          <w:color w:val="000000"/>
          <w:sz w:val="22"/>
        </w:rPr>
        <w:t xml:space="preserve">Award. </w:t>
      </w:r>
      <w:r>
        <w:rPr>
          <w:rFonts w:ascii="Times New Roman" w:hAnsi="Times New Roman"/>
          <w:b w:val="false"/>
          <w:i w:val="false"/>
          <w:color w:val="000000"/>
          <w:sz w:val="22"/>
        </w:rPr>
        <w:t>The award is to be offered to a firm whose properly submitted compliant response best meets the needs of the solicitation and receives the highest overall score of the weighted criteria.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61.20.3.pdf" Type="http://schemas.openxmlformats.org/officeDocument/2006/relationships/hyperlink" Id="rId4"/>
    <Relationship TargetMode="External" Target="https://www.legis.iowa.gov/docs/iac/rule/761.20.6.pdf" Type="http://schemas.openxmlformats.org/officeDocument/2006/relationships/hyperlink" Id="rId5"/>
    <Relationship TargetMode="External" Target="https://www.legis.iowa.gov/docs/iac/rule/761.20.9.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