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761—20.5</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Informal solicitation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20.5(1)</w:t>
      </w:r>
      <w:r>
        <w:rPr>
          <w:rFonts w:ascii="Times New Roman" w:hAnsi="Times New Roman"/>
          <w:b w:val="false"/>
          <w:i w:val="false"/>
          <w:color w:val="000000"/>
          <w:sz w:val="22"/>
        </w:rPr>
        <w:t> </w:t>
      </w:r>
      <w:r>
        <w:rPr>
          <w:rFonts w:ascii="Times New Roman" w:hAnsi="Times New Roman"/>
          <w:b w:val="false"/>
          <w:i/>
          <w:color w:val="000000"/>
          <w:sz w:val="22"/>
        </w:rPr>
        <w:t xml:space="preserve">Bidders lists. </w:t>
      </w:r>
      <w:r>
        <w:rPr>
          <w:rFonts w:ascii="Times New Roman" w:hAnsi="Times New Roman"/>
          <w:b w:val="false"/>
          <w:i w:val="false"/>
          <w:color w:val="000000"/>
          <w:sz w:val="22"/>
        </w:rPr>
        <w:t xml:space="preserve">The department will use its current bidders lists (more information can be found in subrule </w:t>
      </w:r>
      <w:hyperlink r:id="rId4">
        <w:r>
          <w:rPr>
            <w:rStyle w:val="Hyperlink"/>
            <w:rFonts w:ascii="Times New Roman" w:hAnsi="Times New Roman"/>
            <w:b w:val="false"/>
            <w:i w:val="false"/>
            <w:color w:val="000000"/>
            <w:sz w:val="22"/>
          </w:rPr>
          <w:t>20.4(1)</w:t>
        </w:r>
      </w:hyperlink>
      <w:r>
        <w:rPr>
          <w:rFonts w:ascii="Times New Roman" w:hAnsi="Times New Roman"/>
          <w:b w:val="false"/>
          <w:i w:val="false"/>
          <w:color w:val="000000"/>
          <w:sz w:val="22"/>
        </w:rPr>
        <w:t>) to the extent feasible and practicable. However, the solicitation will also be offered to any qualified bidder that has requested an opportunity to participate.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20.5(2)</w:t>
      </w:r>
      <w:r>
        <w:rPr>
          <w:rFonts w:ascii="Times New Roman" w:hAnsi="Times New Roman"/>
          <w:b w:val="false"/>
          <w:i w:val="false"/>
          <w:color w:val="000000"/>
          <w:sz w:val="22"/>
        </w:rPr>
        <w:t> </w:t>
      </w:r>
      <w:r>
        <w:rPr>
          <w:rFonts w:ascii="Times New Roman" w:hAnsi="Times New Roman"/>
          <w:b w:val="false"/>
          <w:i/>
          <w:color w:val="000000"/>
          <w:sz w:val="22"/>
        </w:rPr>
        <w:t xml:space="preserve">Form of solicitation. </w:t>
      </w:r>
      <w:r>
        <w:rPr>
          <w:rFonts w:ascii="Times New Roman" w:hAnsi="Times New Roman"/>
          <w:b w:val="false"/>
          <w:i w:val="false"/>
          <w:color w:val="000000"/>
          <w:sz w:val="22"/>
        </w:rPr>
        <w:t>The solicitation is to be as detailed and complete as practicable for the time and resources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20.5(3)</w:t>
      </w:r>
      <w:r>
        <w:rPr>
          <w:rFonts w:ascii="Times New Roman" w:hAnsi="Times New Roman"/>
          <w:b w:val="false"/>
          <w:i w:val="false"/>
          <w:color w:val="000000"/>
          <w:sz w:val="22"/>
        </w:rPr>
        <w:t> </w:t>
      </w:r>
      <w:r>
        <w:rPr>
          <w:rFonts w:ascii="Times New Roman" w:hAnsi="Times New Roman"/>
          <w:b w:val="false"/>
          <w:i/>
          <w:color w:val="000000"/>
          <w:sz w:val="22"/>
        </w:rPr>
        <w:t xml:space="preserve">Form of response. </w:t>
      </w:r>
      <w:r>
        <w:rPr>
          <w:rFonts w:ascii="Times New Roman" w:hAnsi="Times New Roman"/>
          <w:b w:val="false"/>
          <w:i w:val="false"/>
          <w:color w:val="000000"/>
          <w:sz w:val="22"/>
        </w:rPr>
        <w:t>Responses are to be submitted in writing or electronically when practicable. Written responses will prevail over oral responses in case of discrepancies, disputes or errors. Following is the order of preference: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Original, signed submitted response.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Electronically submitted response (facsimile, email, Internet).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Oral response (e.g., telephonic).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20.5(4)</w:t>
      </w:r>
      <w:r>
        <w:rPr>
          <w:rFonts w:ascii="Times New Roman" w:hAnsi="Times New Roman"/>
          <w:b w:val="false"/>
          <w:i w:val="false"/>
          <w:color w:val="000000"/>
          <w:sz w:val="22"/>
        </w:rPr>
        <w:t> </w:t>
      </w:r>
      <w:r>
        <w:rPr>
          <w:rFonts w:ascii="Times New Roman" w:hAnsi="Times New Roman"/>
          <w:b w:val="false"/>
          <w:i/>
          <w:color w:val="000000"/>
          <w:sz w:val="22"/>
        </w:rPr>
        <w:t xml:space="preserve">Award. </w:t>
      </w:r>
      <w:r>
        <w:rPr>
          <w:rFonts w:ascii="Times New Roman" w:hAnsi="Times New Roman"/>
          <w:b w:val="false"/>
          <w:i w:val="false"/>
          <w:color w:val="000000"/>
          <w:sz w:val="22"/>
        </w:rPr>
        <w:t>The award is to be offered to that responsible bidder whose response meets the requirements of the solicitation and is the most advantageous to the department. An Iowa bidder will be given preference over an out-of-state bidder when responses are equal in all respects and are tied in price.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9126C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61.20.4.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