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701—2507.14</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4">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 xml:space="preserve">(17A,421), the department shall file an answer to the appeal with the clerk. Subject to the limitations in rule </w:t>
      </w:r>
      <w:hyperlink r:id="rId5">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6">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a contested case will not result in a default judgment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upon the taxpayer. The department may amend its answer at any time prior to the commencement of the evidentiary hearing in response to the filing of an amended appeal or to assert a new matter or an affirmative defense. The presiding officer has discretion to grant a continuance to avoid prejudice to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2507.14(6)</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should set forth the basis for retention of the case by the director.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2507.14(7)</w:t>
      </w:r>
      <w:r>
        <w:rPr>
          <w:rFonts w:ascii="Times New Roman" w:hAnsi="Times New Roman"/>
          <w:b w:val="false"/>
          <w:i w:val="false"/>
          <w:color w:val="000000"/>
          <w:sz w:val="22"/>
        </w:rPr>
        <w:t> </w:t>
      </w:r>
      <w:r>
        <w:rPr>
          <w:rFonts w:ascii="Times New Roman" w:hAnsi="Times New Roman"/>
          <w:b w:val="false"/>
          <w:i w:val="false"/>
          <w:color w:val="000000"/>
          <w:sz w:val="22"/>
        </w:rPr>
        <w:t>Upon the filing of an answer, the clerk will transfer the appeal file to the division of administrative hearings within 30 days of the date of the filing of the answer unless the director determines not to transfer the case. If a party objects to a determination, the transfer, if any, would be made after the director makes a ruling on the objection.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7.13.pdf" Type="http://schemas.openxmlformats.org/officeDocument/2006/relationships/hyperlink" Id="rId4"/>
    <Relationship TargetMode="External" Target="https://www.legis.iowa.gov/docs/iac/rule/701.2507.13.pdf" Type="http://schemas.openxmlformats.org/officeDocument/2006/relationships/hyperlink" Id="rId5"/>
    <Relationship TargetMode="External" Target="https://www.legis.iowa.gov/docs/ico/chapter/421.7.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421.6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