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tax appeals during informal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applicable statutory deadline shall be dismissed by the director or the director’s designee in accordance with the procedure outlined in paragraph </w:t>
      </w:r>
      <w:hyperlink r:id="rId4">
        <w:r>
          <w:rPr>
            <w:rStyle w:val="Hyperlink"/>
            <w:rFonts w:ascii="Times New Roman" w:hAnsi="Times New Roman"/>
            <w:b w:val="false"/>
            <w:i w:val="false"/>
            <w:color w:val="000000"/>
            <w:sz w:val="22"/>
          </w:rPr>
          <w:t>2507.11(1)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a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appeal was filed within the statutory appeal period. Thereafter, the rules pertaining to contested case proceedings shall apply in the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5">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paragraph </w:t>
      </w:r>
      <w:hyperlink r:id="rId6">
        <w:r>
          <w:rPr>
            <w:rStyle w:val="Hyperlink"/>
            <w:rFonts w:ascii="Times New Roman" w:hAnsi="Times New Roman"/>
            <w:b w:val="false"/>
            <w:i w:val="false"/>
            <w:color w:val="000000"/>
            <w:sz w:val="22"/>
          </w:rPr>
          <w:t>2507.11(1)</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during the informal proceedings.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hyperlink r:id="rId7">
        <w:r>
          <w:rPr>
            <w:rStyle w:val="Hyperlink"/>
            <w:rFonts w:ascii="Times New Roman" w:hAnsi="Times New Roman"/>
            <w:b w:val="false"/>
            <w:i w:val="false"/>
            <w:color w:val="000000"/>
            <w:sz w:val="22"/>
          </w:rPr>
          <w:t>2507.11(3)</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an incomplete response will be treated as a failure to pursue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taxpayer failed to pursue the appeal, as that term is defined in this subrule. Thereafter, the rules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for a contested case proceeding that shall be limited to the question of whether the taxpayer has good cause to reinstate the dismissed appeal. Thereafter, the rules pertaining to contested case proceedings shall apply in such reinstatement proceedings. If the taxpayer does not respond to a denial of the application for reinstatement within 30 days of the denial, the director or the director’s designee will issue an order closing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7.11.pdf" Type="http://schemas.openxmlformats.org/officeDocument/2006/relationships/hyperlink" Id="rId4"/>
    <Relationship TargetMode="External" Target="https://www.legis.iowa.gov/docs/ico/chapter/421.60.pdf" Type="http://schemas.openxmlformats.org/officeDocument/2006/relationships/hyperlink" Id="rId5"/>
    <Relationship TargetMode="External" Target="https://www.legis.iowa.gov/docs/iac/rule/701.2507.11.pdf" Type="http://schemas.openxmlformats.org/officeDocument/2006/relationships/hyperlink" Id="rId6"/>
    <Relationship TargetMode="External" Target="https://www.legis.iowa.gov/docs/iac/rule/701.2507.11.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co/chapter/421.10.pdf" Type="http://schemas.openxmlformats.org/officeDocument/2006/relationships/hyperlink" Id="rId9"/>
    <Relationship TargetMode="External" Target="https://www.legis.iowa.gov/docs/ico/chapter/421.60.pdf" Type="http://schemas.openxmlformats.org/officeDocument/2006/relationships/hyperlink" Id="rId10"/>
    <Relationship TargetMode="External" Target="https://www.legis.iowa.gov/docs/ico/chapter/422.2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