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701—2506.26</w:t>
      </w:r>
      <w:r>
        <w:rPr>
          <w:rFonts w:ascii="Times New Roman" w:hAnsi="Times New Roman"/>
          <w:b/>
          <w:i w:val="false"/>
          <w:color w:val="000000"/>
          <w:sz w:val="22"/>
        </w:rPr>
        <w:t xml:space="preserve">(17A) </w:t>
      </w:r>
      <w:r>
        <w:rPr>
          <w:rFonts w:ascii="Times New Roman" w:hAnsi="Times New Roman"/>
          <w:b/>
          <w:i w:val="false"/>
          <w:color w:val="000000"/>
          <w:sz w:val="22"/>
        </w:rPr>
        <w:t xml:space="preserve">Final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2506.26(2)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director initially presides at a hearing or considers decisions on appeal from or review of a proposed decision by the presiding officer other than the director, the order becomes the final order of the agency for purposes of judicial review or rehearing unless there is an appeal to or review on motion of a second agency within the time provided by statute or rule. When a presiding officer other than the director presides at the hearing, the order becomes final and not subject to judicial review unless there is an appeal to or review on motion of the director within 30 days of the date of the order, including Saturdays, Sundays, and holidays as defined in Iowa Code section </w:t>
      </w:r>
      <w:hyperlink r:id="rId4">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 However, if the contested case proceeding involves a question of an award of reasonable litigation costs, the proposed order on the substantive issues shall not be appealable to or reviewable by the director on the director’s motion until the issuance of a proposed order on the reasonable litigation costs. If there is no such appeal to or review by the director within 30 days or 10 days, whichever is applicable, from the date of the proposed order on reasonable litigation costs, both the proposed order on the substantive issues and the proposed order on the reasonable litigation costs become final and not subject to judicial review. On an appeal from, review of, or application for rehearing concerning the presiding officer’s order, the director has all the power that the director would initially have had in making the decision; however, the director will consider only those issues presented at the hearing before the presiding officer or raised independently by the presiding officer, including the propriety of and the authority for raising issues. The parties will be notified of those issues that will be considered by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1.9A.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