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701—2506.17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Applications for continuances can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three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No application for continuance will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order a party to furnish evidence of facts supporting or opposing the request. Notwithstanding the foregoing, each party is entitled to one continuance without the need of a good cause showing unless a continuance would cause the contested case proceeding to exceed a time limit set forth in another applicable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