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w15="http://schemas.microsoft.com/office/word/2012/wordml" xmlns:w14="http://schemas.microsoft.com/office/word/2010/wordml" xmlns:r="http://schemas.openxmlformats.org/officeDocument/2006/relationships" xmlns:m="http://schemas.openxmlformats.org/officeDocument/2006/math" xmlns:wp="http://schemas.openxmlformats.org/drawingml/2006/wordprocessingDrawing" xmlns:a="http://schemas.openxmlformats.org/drawingml/2006/main" xmlns:wp14="http://schemas.microsoft.com/office/word/2010/wordprocessingDrawing"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9 on Windows Server 2022 -->
    <w:p>
      <w:pPr>
        <w:spacing w:before="0" w:after="0"/>
        <w:ind w:left="120"/>
        <w:jc w:val="both"/>
      </w:pPr>
      <w:r>
        <w:rPr>
          <w:rFonts w:ascii="Times New Roman" w:hAnsi="Times New Roman"/>
          <w:b/>
          <w:i w:val="false"/>
          <w:color w:val="000000"/>
          <w:sz w:val="22"/>
        </w:rPr>
        <w:t>701—2506.11</w:t>
      </w:r>
      <w:r>
        <w:rPr>
          <w:rFonts w:ascii="Times New Roman" w:hAnsi="Times New Roman"/>
          <w:b/>
          <w:i w:val="false"/>
          <w:color w:val="000000"/>
          <w:sz w:val="22"/>
        </w:rPr>
        <w:t xml:space="preserve">(17A) </w:t>
      </w:r>
      <w:r>
        <w:rPr>
          <w:rFonts w:ascii="Times New Roman" w:hAnsi="Times New Roman"/>
          <w:b/>
          <w:i w:val="false"/>
          <w:color w:val="000000"/>
          <w:sz w:val="22"/>
        </w:rPr>
        <w:t xml:space="preserve">Pleadings.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2506.11(1)</w:t>
      </w:r>
      <w:r>
        <w:rPr>
          <w:rFonts w:ascii="Times New Roman" w:hAnsi="Times New Roman"/>
          <w:b w:val="false"/>
          <w:i w:val="false"/>
          <w:color w:val="000000"/>
          <w:sz w:val="22"/>
        </w:rPr>
        <w:t> </w:t>
      </w:r>
      <w:r>
        <w:rPr>
          <w:rFonts w:ascii="Times New Roman" w:hAnsi="Times New Roman"/>
          <w:b w:val="false"/>
          <w:i w:val="false"/>
          <w:color w:val="000000"/>
          <w:sz w:val="22"/>
        </w:rPr>
        <w:t>This subrule is not adopted.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2506.11(2)</w:t>
      </w:r>
      <w:r>
        <w:rPr>
          <w:rFonts w:ascii="Times New Roman" w:hAnsi="Times New Roman"/>
          <w:b w:val="false"/>
          <w:i w:val="false"/>
          <w:color w:val="000000"/>
          <w:sz w:val="22"/>
        </w:rPr>
        <w:t> </w:t>
      </w:r>
      <w:r>
        <w:rPr>
          <w:rFonts w:ascii="Times New Roman" w:hAnsi="Times New Roman"/>
          <w:b w:val="false"/>
          <w:i w:val="false"/>
          <w:color w:val="000000"/>
          <w:sz w:val="22"/>
        </w:rPr>
        <w:t>This subrule is not adopted.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2506.11(3)</w:t>
      </w:r>
      <w:r>
        <w:rPr>
          <w:rFonts w:ascii="Times New Roman" w:hAnsi="Times New Roman"/>
          <w:b w:val="false"/>
          <w:i w:val="false"/>
          <w:color w:val="000000"/>
          <w:sz w:val="22"/>
        </w:rPr>
        <w:t> </w:t>
      </w:r>
      <w:r>
        <w:rPr>
          <w:rFonts w:ascii="Times New Roman" w:hAnsi="Times New Roman"/>
          <w:b w:val="false"/>
          <w:i w:val="false"/>
          <w:color w:val="000000"/>
          <w:sz w:val="22"/>
        </w:rPr>
        <w:t>This subrule is not adopted.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2506.11(4)</w:t>
      </w:r>
      <w:r>
        <w:rPr>
          <w:rFonts w:ascii="Times New Roman" w:hAnsi="Times New Roman"/>
          <w:b w:val="false"/>
          <w:i w:val="false"/>
          <w:color w:val="000000"/>
          <w:sz w:val="22"/>
        </w:rPr>
        <w:t> </w:t>
      </w:r>
      <w:r>
        <w:rPr>
          <w:rFonts w:ascii="Times New Roman" w:hAnsi="Times New Roman"/>
          <w:b w:val="false"/>
          <w:i/>
          <w:color w:val="000000"/>
          <w:sz w:val="22"/>
        </w:rPr>
        <w:t xml:space="preserve">Amendments. </w:t>
      </w:r>
      <w:r>
        <w:rPr>
          <w:rFonts w:ascii="Times New Roman" w:hAnsi="Times New Roman"/>
          <w:b w:val="false"/>
          <w:i w:val="false"/>
          <w:color w:val="000000"/>
          <w:sz w:val="22"/>
        </w:rPr>
        <w:t>Amendments to pleadings after a responsive pleading has been filed and to an answer may be allowed with the consent of the other parties or in the discretion of the presiding officer who may impose terms or grant a continuance.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2506.11(5)</w:t>
      </w:r>
      <w:r>
        <w:rPr>
          <w:rFonts w:ascii="Times New Roman" w:hAnsi="Times New Roman"/>
          <w:b w:val="false"/>
          <w:i w:val="false"/>
          <w:color w:val="000000"/>
          <w:sz w:val="22"/>
        </w:rPr>
        <w:t> </w:t>
      </w:r>
      <w:r>
        <w:rPr>
          <w:rFonts w:ascii="Times New Roman" w:hAnsi="Times New Roman"/>
          <w:b w:val="false"/>
          <w:i/>
          <w:color w:val="000000"/>
          <w:sz w:val="22"/>
        </w:rPr>
        <w:t xml:space="preserve">Alcohol-related hearing complaint.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agency, a local authority having jurisdiction, or the department of public safety may give written notice of the cause for action in the form of a hearing complaint and an opportunity for a hearing to a licensee, permittee, or holder of a certificate of compliance for any of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 violation of the laws and rules applicable to the sale and distribution of alcohol.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Failure to comply with an order issued by the agency.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Failure to fully cooperate during an investigation, audit, or inspection of the licensee; permittee; or certificate holder, including failure to respond to an inquiry within ten business days of the date of mailing by certified mail, return receipt requested, of a written request for information or records directed to the licensee’s, permittee’s, or certificate holder’s last address on file with the agency.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 hearing complaint shall state in separately numbered paragraphs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persons or entities on whose behalf the hearing complaint is filed;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particular provisions of statutes and rules involved.</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0437D</w:t>
      </w:r>
      <w:r>
        <w:rPr>
          <w:rFonts w:ascii="Times New Roman" w:hAnsi="Times New Roman"/>
          <w:b w:val="false"/>
          <w:i w:val="false"/>
          <w:color w:val="000000"/>
          <w:sz w:val="16"/>
        </w:rPr>
        <w:t>, IAB 7/22/26, effective 6/30/26</w:t>
      </w:r>
      <w:r>
        <w:rPr>
          <w:rFonts w:ascii="Times New Roman" w:hAnsi="Times New Roman"/>
          <w:b w:val="false"/>
          <w:i w:val="false"/>
          <w:color w:val="000000"/>
          <w:sz w:val="16"/>
        </w:rPr>
        <w:t>]</w:t>
      </w:r>
    </w:p>
    <w:sectPr>
      <w:footerReference r:id="rId4"/>
      <w:pgSz w:w="11907" w:h="16839" w:code="9"/>
      <w:pgMar w:top="1440" w:right="1440" w:bottom="1440" w:left="1440"/>
    </w:sectPr>
  </w:body>
</w:document>
</file>

<file path=word/footer.xml><?xml version="1.0" encoding="utf-8"?>
<w:ftr xmlns:w="http://schemas.openxmlformats.org/wordprocessingml/2006/main" xmlns:w15="http://schemas.microsoft.com/office/word/2012/wordml" xmlns:w14="http://schemas.microsoft.com/office/word/2010/wordml" xmlns:r="http://schemas.openxmlformats.org/officeDocument/2006/relationships" xmlns:m="http://schemas.openxmlformats.org/officeDocument/2006/math" xmlns:wp="http://schemas.openxmlformats.org/drawingml/2006/wordprocessingDrawing" xmlns:a="http://schemas.openxmlformats.org/drawingml/2006/main" xmlns:wp14="http://schemas.microsoft.com/office/word/2010/wordprocessingDrawing"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w15="http://schemas.microsoft.com/office/word/2012/wordml" xmlns:w14="http://schemas.microsoft.com/office/word/2010/wordml" xmlns:r="http://schemas.openxmlformats.org/officeDocument/2006/relationships" xmlns:m="http://schemas.openxmlformats.org/officeDocument/2006/math" xmlns:wp="http://schemas.openxmlformats.org/drawingml/2006/wordprocessingDrawing" xmlns:a="http://schemas.openxmlformats.org/drawingml/2006/main" xmlns:wp14="http://schemas.microsoft.com/office/word/2010/wordprocessingDrawing"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w15="http://schemas.microsoft.com/office/word/2012/wordml" xmlns:w14="http://schemas.microsoft.com/office/word/2010/wordml" xmlns:r="http://schemas.openxmlformats.org/officeDocument/2006/relationships" xmlns:m="http://schemas.openxmlformats.org/officeDocument/2006/math" xmlns:wp="http://schemas.openxmlformats.org/drawingml/2006/wordprocessingDrawing" xmlns:a="http://schemas.openxmlformats.org/drawingml/2006/main" xmlns:wp14="http://schemas.microsoft.com/office/word/2010/wordprocessingDrawing"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w15="http://schemas.microsoft.com/office/word/2012/wordml" xmlns:w14="http://schemas.microsoft.com/office/word/2010/wordml" xmlns:r="http://schemas.openxmlformats.org/officeDocument/2006/relationships" xmlns:m="http://schemas.openxmlformats.org/officeDocument/2006/math" xmlns:wp="http://schemas.openxmlformats.org/drawingml/2006/wordprocessingDrawing" xmlns:a="http://schemas.openxmlformats.org/drawingml/2006/main" xmlns:wp14="http://schemas.microsoft.com/office/word/2010/wordprocessingDrawing"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footer.xml" Type="http://schemas.openxmlformats.org/officeDocument/2006/relationships/footer" Id="rId4"/>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