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701—2505.9</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2505.9(1)</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 taxpayer may designate an individual to receive, inspect, and discuss the taxpayer’s confidential state tax information from the agency. Such designation does not authorize the designee to act or authorize any action on the taxpayer’s behalf in any way other than to receive information and communicate with the agency. Information about transfers of decision-making authority is contained in Iowa Code section </w:t>
      </w:r>
      <w:hyperlink r:id="rId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701—8.8</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tax information disclosure designation form. </w:t>
      </w:r>
      <w:r>
        <w:rPr>
          <w:rFonts w:ascii="Times New Roman" w:hAnsi="Times New Roman"/>
          <w:b w:val="false"/>
          <w:i w:val="false"/>
          <w:color w:val="000000"/>
          <w:sz w:val="22"/>
        </w:rPr>
        <w:t>A taxpayer must use the agency’s tax information disclosure designation form, or other designated method authorized by the agency, to designate an individual to receive, inspect, and discuss confidential state tax information. A tax information disclosure designation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(e.g.,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designee’s name, mailing address, and identification number (e.g.,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disclosure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 tax permit number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subrule </w:t>
      </w:r>
      <w:hyperlink r:id="rId6">
        <w:r>
          <w:rPr>
            <w:rStyle w:val="Hyperlink"/>
            <w:rFonts w:ascii="Times New Roman" w:hAnsi="Times New Roman"/>
            <w:b w:val="false"/>
            <w:i w:val="false"/>
            <w:color w:val="000000"/>
            <w:sz w:val="22"/>
          </w:rPr>
          <w:t>2505.9(1)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signature of an individual listed in subrule </w:t>
      </w:r>
      <w:hyperlink r:id="rId7">
        <w:r>
          <w:rPr>
            <w:rStyle w:val="Hyperlink"/>
            <w:rFonts w:ascii="Times New Roman" w:hAnsi="Times New Roman"/>
            <w:b w:val="false"/>
            <w:i w:val="false"/>
            <w:color w:val="000000"/>
            <w:sz w:val="22"/>
          </w:rPr>
          <w:t>2505.9(4)</w:t>
        </w:r>
      </w:hyperlink>
      <w:r>
        <w:rPr>
          <w:rFonts w:ascii="Times New Roman" w:hAnsi="Times New Roman"/>
          <w:b w:val="false"/>
          <w:i w:val="false"/>
          <w:color w:val="000000"/>
          <w:sz w:val="22"/>
        </w:rPr>
        <w:t xml:space="preserve"> meeting the requirements of rule </w:t>
      </w:r>
      <w:hyperlink r:id="rId8">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2505.9(3)</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 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agency; however, tax periods must be stated if the intention is to limit the periods. If the tax periods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information disclosure designation continues to be effective for tax periods as defined in paragraph </w:t>
      </w:r>
      <w:hyperlink r:id="rId9">
        <w:r>
          <w:rPr>
            <w:rStyle w:val="Hyperlink"/>
            <w:rFonts w:ascii="Times New Roman" w:hAnsi="Times New Roman"/>
            <w:b w:val="false"/>
            <w:i w:val="false"/>
            <w:color w:val="000000"/>
            <w:sz w:val="22"/>
          </w:rPr>
          <w:t>2505.9(3)</w:t>
        </w:r>
      </w:hyperlink>
      <w:r>
        <w:rPr>
          <w:rFonts w:ascii="Times New Roman" w:hAnsi="Times New Roman"/>
          <w:b w:val="false"/>
          <w:i/>
          <w:color w:val="000000"/>
          <w:sz w:val="22"/>
        </w:rPr>
        <w:t>“a”</w:t>
      </w:r>
      <w:r>
        <w:rPr>
          <w:rFonts w:ascii="Times New Roman" w:hAnsi="Times New Roman"/>
          <w:b w:val="false"/>
          <w:i w:val="false"/>
          <w:color w:val="000000"/>
          <w:sz w:val="22"/>
        </w:rPr>
        <w:t xml:space="preserve"> until revocation by the taxpayer; incapacity of the taxpayer; death of the taxpayer; or withdrawal, death, or incapacity of the tax information disclosure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2505.9(4)</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 tax information disclosure designation. </w:t>
      </w:r>
      <w:r>
        <w:rPr>
          <w:rFonts w:ascii="Times New Roman" w:hAnsi="Times New Roman"/>
          <w:b w:val="false"/>
          <w:i w:val="false"/>
          <w:color w:val="000000"/>
          <w:sz w:val="22"/>
        </w:rPr>
        <w:t>The individual(s) who may execute a tax information disclosure designation depends on the type of taxpayer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In matters involving an individual taxpayer, a tax information disclosure designation must be signed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or combined returns. </w:t>
      </w:r>
      <w:r>
        <w:rPr>
          <w:rFonts w:ascii="Times New Roman" w:hAnsi="Times New Roman"/>
          <w:b w:val="false"/>
          <w:i w:val="false"/>
          <w:color w:val="000000"/>
          <w:sz w:val="22"/>
        </w:rPr>
        <w:t>In matters involving a joint return or married taxpayers who have elected to file separately on a combined return, each taxpayer must complete and submit a tax information disclosure designation form for the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Third parties. </w:t>
      </w:r>
      <w:r>
        <w:rPr>
          <w:rFonts w:ascii="Times New Roman" w:hAnsi="Times New Roman"/>
          <w:b w:val="false"/>
          <w:i w:val="false"/>
          <w:color w:val="000000"/>
          <w:sz w:val="22"/>
        </w:rPr>
        <w:t xml:space="preserve">The tax information disclosure designation form may be signed by an individual who has been authorized to act on behalf of the taxpayer under Iowa Code section </w:t>
      </w:r>
      <w:hyperlink r:id="rId10">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agency, a taxpayer may revoke a tax information disclosure designation without authorizing a new representative. The statement of revocation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(e.g.,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(e.g., PTIN, FEIN, SSN, ITIN, or IAN) of the designee whose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to revoke the designee’s disclosure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an authorized signatory as described in subrule </w:t>
      </w:r>
      <w:hyperlink r:id="rId11">
        <w:r>
          <w:rPr>
            <w:rStyle w:val="Hyperlink"/>
            <w:rFonts w:ascii="Times New Roman" w:hAnsi="Times New Roman"/>
            <w:b w:val="false"/>
            <w:i w:val="false"/>
            <w:color w:val="000000"/>
            <w:sz w:val="22"/>
          </w:rPr>
          <w:t>2505.9(4)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agency that a prior tax information disclosure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Withdrawal by the designee. </w:t>
      </w:r>
      <w:r>
        <w:rPr>
          <w:rFonts w:ascii="Times New Roman" w:hAnsi="Times New Roman"/>
          <w:b w:val="false"/>
          <w:i w:val="false"/>
          <w:color w:val="000000"/>
          <w:sz w:val="22"/>
        </w:rPr>
        <w:t>By filing a statement with the agency, a designee may withdraw from the designation in a matter in which a tax information disclosure designation has been filed. The statement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(e.g.,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tax identification number (e.g., PTIN, FEIN, SSN, ITIN, or IAN) of the designee whose designation is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that the designee wishes to withdraw;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Signature of withdrawing designee and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2505.9(6)</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 xml:space="preserve">A tax information disclosure designation form may not be submitted as an attachment to a tax return, except as provided by these rules. A tax information disclosure designation form must be submitted separately to the agency in accordance with the submission instructions on the form. However, the agency may, at its discretion, provide a method for authorizing disclosure on the face of a tax return as defined in Iowa Code section </w:t>
      </w:r>
      <w:hyperlink r:id="rId12">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agency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13">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(421) of the taxpayer to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If the form is not submitted within six months of the date it is signed,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agency will evaluate the tax information disclosure designation form and any additional documentation to confirm authorization. Authorization to receive, inspect, and discuss confidential state tax information from the agency shall only cover those matters and time frames covered by the submitted documentation. The party claiming authorization to receive, inspect, and discuss confidential state tax information from the agency on behalf of a taxpayer shall have the burden to prove, to the satisfaction of the agency, the existence and extent of the claimed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59.pdf" Type="http://schemas.openxmlformats.org/officeDocument/2006/relationships/hyperlink" Id="rId4"/>
    <Relationship TargetMode="External" Target="https://www.legis.iowa.gov/docs/iac/rule/701.8.8.pdf" Type="http://schemas.openxmlformats.org/officeDocument/2006/relationships/hyperlink" Id="rId5"/>
    <Relationship TargetMode="External" Target="https://www.legis.iowa.gov/docs/iac/rule/701.2505.9.pdf" Type="http://schemas.openxmlformats.org/officeDocument/2006/relationships/hyperlink" Id="rId6"/>
    <Relationship TargetMode="External" Target="https://www.legis.iowa.gov/docs/iac/rule/701.2505.9.pdf" Type="http://schemas.openxmlformats.org/officeDocument/2006/relationships/hyperlink" Id="rId7"/>
    <Relationship TargetMode="External" Target="https://www.legis.iowa.gov/docs/iac/rule/701.8.2.pdf" Type="http://schemas.openxmlformats.org/officeDocument/2006/relationships/hyperlink" Id="rId8"/>
    <Relationship TargetMode="External" Target="https://www.legis.iowa.gov/docs/iac/rule/701.2505.9.pdf" Type="http://schemas.openxmlformats.org/officeDocument/2006/relationships/hyperlink" Id="rId9"/>
    <Relationship TargetMode="External" Target="https://www.legis.iowa.gov/docs/ico/chapter/421.59.pdf" Type="http://schemas.openxmlformats.org/officeDocument/2006/relationships/hyperlink" Id="rId10"/>
    <Relationship TargetMode="External" Target="https://www.legis.iowa.gov/docs/iac/rule/701.2505.9.pdf" Type="http://schemas.openxmlformats.org/officeDocument/2006/relationships/hyperlink" Id="rId11"/>
    <Relationship TargetMode="External" Target="https://www.legis.iowa.gov/docs/ico/chapter/421.6.pdf" Type="http://schemas.openxmlformats.org/officeDocument/2006/relationships/hyperlink" Id="rId12"/>
    <Relationship TargetMode="External" Target="https://www.legis.iowa.gov/docs/iac/rule/701.8.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