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701—2505.7</w:t>
      </w:r>
      <w:r>
        <w:rPr>
          <w:rFonts w:ascii="Times New Roman" w:hAnsi="Times New Roman"/>
          <w:b/>
          <w:i w:val="false"/>
          <w:color w:val="000000"/>
          <w:sz w:val="22"/>
        </w:rPr>
        <w:t xml:space="preserve">(17A,22) </w:t>
      </w:r>
      <w:r>
        <w:rPr>
          <w:rFonts w:ascii="Times New Roman" w:hAnsi="Times New Roman"/>
          <w:b/>
          <w:i w:val="false"/>
          <w:color w:val="000000"/>
          <w:sz w:val="22"/>
        </w:rPr>
        <w:t xml:space="preserve">Consensual disclosure of confidential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2505.7(1)</w:t>
      </w:r>
      <w:r>
        <w:rPr>
          <w:rFonts w:ascii="Times New Roman" w:hAnsi="Times New Roman"/>
          <w:b w:val="false"/>
          <w:i w:val="false"/>
          <w:color w:val="000000"/>
          <w:sz w:val="22"/>
        </w:rPr>
        <w:t> </w:t>
      </w:r>
      <w:r>
        <w:rPr>
          <w:rFonts w:ascii="Times New Roman" w:hAnsi="Times New Roman"/>
          <w:b w:val="false"/>
          <w:i/>
          <w:color w:val="000000"/>
          <w:sz w:val="22"/>
        </w:rPr>
        <w:t xml:space="preserve">Consent to disclosure by a subject. </w:t>
      </w:r>
      <w:r>
        <w:rPr>
          <w:rFonts w:ascii="Times New Roman" w:hAnsi="Times New Roman"/>
          <w:b w:val="false"/>
          <w:i w:val="false"/>
          <w:color w:val="000000"/>
          <w:sz w:val="22"/>
        </w:rPr>
        <w:t xml:space="preserve">To the extent permitted by law, the subject may consent in writing to agency disclosure of confidential records as provided in rules </w:t>
      </w:r>
      <w:hyperlink r:id="rId4">
        <w:r>
          <w:rPr>
            <w:rStyle w:val="Hyperlink"/>
            <w:rFonts w:ascii="Times New Roman" w:hAnsi="Times New Roman"/>
            <w:b w:val="false"/>
            <w:i w:val="false"/>
            <w:color w:val="000000"/>
            <w:sz w:val="22"/>
          </w:rPr>
          <w:t>701—2505.9</w:t>
        </w:r>
      </w:hyperlink>
      <w:r>
        <w:rPr>
          <w:rFonts w:ascii="Times New Roman" w:hAnsi="Times New Roman"/>
          <w:b w:val="false"/>
          <w:i w:val="false"/>
          <w:color w:val="000000"/>
          <w:sz w:val="22"/>
        </w:rPr>
        <w:t xml:space="preserve">(17A,22,99G,123,421-453E) and </w:t>
      </w:r>
      <w:hyperlink r:id="rId5">
        <w:r>
          <w:rPr>
            <w:rStyle w:val="Hyperlink"/>
            <w:rFonts w:ascii="Times New Roman" w:hAnsi="Times New Roman"/>
            <w:b w:val="false"/>
            <w:i w:val="false"/>
            <w:color w:val="000000"/>
            <w:sz w:val="22"/>
          </w:rPr>
          <w:t>701—2507.6</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2505.7(2)</w:t>
      </w:r>
      <w:r>
        <w:rPr>
          <w:rFonts w:ascii="Times New Roman" w:hAnsi="Times New Roman"/>
          <w:b w:val="false"/>
          <w:i w:val="false"/>
          <w:color w:val="000000"/>
          <w:sz w:val="22"/>
        </w:rPr>
        <w:t> </w:t>
      </w:r>
      <w:r>
        <w:rPr>
          <w:rFonts w:ascii="Times New Roman" w:hAnsi="Times New Roman"/>
          <w:b w:val="false"/>
          <w:i/>
          <w:color w:val="000000"/>
          <w:sz w:val="22"/>
        </w:rPr>
        <w:t xml:space="preserve">Complaints to public officials not an authorization—separate authorization required. </w:t>
      </w:r>
      <w:r>
        <w:rPr>
          <w:rFonts w:ascii="Times New Roman" w:hAnsi="Times New Roman"/>
          <w:b w:val="false"/>
          <w:i w:val="false"/>
          <w:color w:val="000000"/>
          <w:sz w:val="22"/>
        </w:rPr>
        <w:t xml:space="preserve">A letter from the subject of a confidential record to a public official that seeks the official’s intervention on behalf of the subject in a matter that involves the agency is not, to the extent permitted by law, treated as an authorization to release sufficient information about the subject to the official to resolve the matter. The subject of a confidential record filing a complaint needs to submit a disclosure authorization as provided in rules </w:t>
      </w:r>
      <w:hyperlink r:id="rId6">
        <w:r>
          <w:rPr>
            <w:rStyle w:val="Hyperlink"/>
            <w:rFonts w:ascii="Times New Roman" w:hAnsi="Times New Roman"/>
            <w:b w:val="false"/>
            <w:i w:val="false"/>
            <w:color w:val="000000"/>
            <w:sz w:val="22"/>
          </w:rPr>
          <w:t>701—2505.9</w:t>
        </w:r>
      </w:hyperlink>
      <w:r>
        <w:rPr>
          <w:rFonts w:ascii="Times New Roman" w:hAnsi="Times New Roman"/>
          <w:b w:val="false"/>
          <w:i w:val="false"/>
          <w:color w:val="000000"/>
          <w:sz w:val="22"/>
        </w:rPr>
        <w:t xml:space="preserve">(17A,22,99G,123,421-453E) and </w:t>
      </w:r>
      <w:hyperlink r:id="rId7">
        <w:r>
          <w:rPr>
            <w:rStyle w:val="Hyperlink"/>
            <w:rFonts w:ascii="Times New Roman" w:hAnsi="Times New Roman"/>
            <w:b w:val="false"/>
            <w:i w:val="false"/>
            <w:color w:val="000000"/>
            <w:sz w:val="22"/>
          </w:rPr>
          <w:t>701—8.8</w:t>
        </w:r>
      </w:hyperlink>
      <w:r>
        <w:rPr>
          <w:rFonts w:ascii="Times New Roman" w:hAnsi="Times New Roman"/>
          <w:b w:val="false"/>
          <w:i w:val="false"/>
          <w:color w:val="000000"/>
          <w:sz w:val="22"/>
        </w:rPr>
        <w:t>(17A,22,421,422).</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0437D</w:t>
      </w:r>
      <w:r>
        <w:rPr>
          <w:rFonts w:ascii="Times New Roman" w:hAnsi="Times New Roman"/>
          <w:b w:val="false"/>
          <w:i w:val="false"/>
          <w:color w:val="000000"/>
          <w:sz w:val="16"/>
        </w:rPr>
        <w:t>, IAB 7/22/26, effective 6/30/26</w:t>
      </w:r>
      <w:r>
        <w:rPr>
          <w:rFonts w:ascii="Times New Roman" w:hAnsi="Times New Roman"/>
          <w:b w:val="false"/>
          <w:i w:val="false"/>
          <w:color w:val="000000"/>
          <w:sz w:val="16"/>
        </w:rPr>
        <w:t>]</w:t>
      </w:r>
    </w:p>
    <w:sectPr>
      <w:footerReference r:id="rId8"/>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701.2505.9.pdf" Type="http://schemas.openxmlformats.org/officeDocument/2006/relationships/hyperlink" Id="rId4"/>
    <Relationship TargetMode="External" Target="https://www.legis.iowa.gov/docs/iac/rule/701.2507.6.pdf" Type="http://schemas.openxmlformats.org/officeDocument/2006/relationships/hyperlink" Id="rId5"/>
    <Relationship TargetMode="External" Target="https://www.legis.iowa.gov/docs/iac/rule/701.2505.9.pdf" Type="http://schemas.openxmlformats.org/officeDocument/2006/relationships/hyperlink" Id="rId6"/>
    <Relationship TargetMode="External" Target="https://www.legis.iowa.gov/docs/iac/rule/701.8.8.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