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701—2505.10</w:t>
      </w:r>
      <w:r>
        <w:rPr>
          <w:rFonts w:ascii="Times New Roman" w:hAnsi="Times New Roman"/>
          <w:b/>
          <w:i w:val="false"/>
          <w:color w:val="000000"/>
          <w:sz w:val="22"/>
        </w:rPr>
        <w:t xml:space="preserve">(17A,22,99G,123,421-453E) </w:t>
      </w:r>
      <w:r>
        <w:rPr>
          <w:rFonts w:ascii="Times New Roman" w:hAnsi="Times New Roman"/>
          <w:b/>
          <w:i w:val="false"/>
          <w:color w:val="000000"/>
          <w:sz w:val="22"/>
        </w:rPr>
        <w:t xml:space="preserve">Release to subject or owner of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record may request to review the subject’s own records by following the procedures in rules </w:t>
      </w:r>
      <w:hyperlink r:id="rId4">
        <w:r>
          <w:rPr>
            <w:rStyle w:val="Hyperlink"/>
            <w:rFonts w:ascii="Times New Roman" w:hAnsi="Times New Roman"/>
            <w:b w:val="false"/>
            <w:i w:val="false"/>
            <w:color w:val="000000"/>
            <w:sz w:val="22"/>
          </w:rPr>
          <w:t>701—2505.3</w:t>
        </w:r>
      </w:hyperlink>
      <w:r>
        <w:rPr>
          <w:rFonts w:ascii="Times New Roman" w:hAnsi="Times New Roman"/>
          <w:b w:val="false"/>
          <w:i w:val="false"/>
          <w:color w:val="000000"/>
          <w:sz w:val="22"/>
        </w:rPr>
        <w:t xml:space="preserve">(17A,22) and </w:t>
      </w:r>
      <w:hyperlink r:id="rId5">
        <w:r>
          <w:rPr>
            <w:rStyle w:val="Hyperlink"/>
            <w:rFonts w:ascii="Times New Roman" w:hAnsi="Times New Roman"/>
            <w:b w:val="false"/>
            <w:i w:val="false"/>
            <w:color w:val="000000"/>
            <w:sz w:val="22"/>
          </w:rPr>
          <w:t>701—2505.4</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to the agency that are protected from disclosure under Iowa Code section </w:t>
      </w:r>
      <w:hyperlink r:id="rId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Such protected communications include responses to questionnaires solicited by the agency that relate to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that are a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except when disclosure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records that may be withheld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Where a requested record contains information on multiple subjects, the agency may take reasonable steps to protect confidential information relating to the subject or subjects that did not make the request when releasing the record to the requesting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05.3.pdf" Type="http://schemas.openxmlformats.org/officeDocument/2006/relationships/hyperlink" Id="rId4"/>
    <Relationship TargetMode="External" Target="https://www.legis.iowa.gov/docs/iac/rule/701.2505.4.pdf" Type="http://schemas.openxmlformats.org/officeDocument/2006/relationships/hyperlink" Id="rId5"/>
    <Relationship TargetMode="External" Target="https://www.legis.iowa.gov/docs/ico/chapter/22.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