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701—2504.1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Any person may submit a petition to waive, in whole or in part, any discretionary rule filed outside of a contested case proceeding in the agency’s jurisdiction by submitting the petition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“Discretionary rule”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“discretionary provisions in a rule”</w:t>
      </w:r>
      <w:r>
        <w:rPr>
          <w:rFonts w:ascii="Times New Roman" w:hAnsi="Times New Roman"/>
          <w:b w:val="false"/>
          <w:i w:val="false"/>
          <w:color w:val="000000"/>
          <w:sz w:val="22"/>
        </w:rPr>
        <w:t> </w:t>
      </w:r>
      <w:r>
        <w:rPr>
          <w:rFonts w:ascii="Times New Roman" w:hAnsi="Times New Roman"/>
          <w:b w:val="false"/>
          <w:i w:val="false"/>
          <w:color w:val="000000"/>
          <w:sz w:val="22"/>
        </w:rPr>
        <w:t>means rules or provisions in rules resulting from a delegation by the legislature to the agency to create a binding rule to govern a given issue or area. The agency is not interpreting any statutory provision of the law promulgated by the legislature in a discretionary rule. Instead, a discretionary rule is authorized by the legislature when the legislature has delegated the creation of binding rules to the agency and the contents of such rules are at the discretion of the agency. A rule that contains both discretionary and interpretive provisions is deemed to be a discretionary rule to the extent of the discretionary provisions in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“Interpretive rules”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“interpretive provisions in a rule”</w:t>
      </w:r>
      <w:r>
        <w:rPr>
          <w:rFonts w:ascii="Times New Roman" w:hAnsi="Times New Roman"/>
          <w:b w:val="false"/>
          <w:i w:val="false"/>
          <w:color w:val="000000"/>
          <w:sz w:val="22"/>
        </w:rPr>
        <w:t> </w:t>
      </w:r>
      <w:r>
        <w:rPr>
          <w:rFonts w:ascii="Times New Roman" w:hAnsi="Times New Roman"/>
          <w:b w:val="false"/>
          <w:i w:val="false"/>
          <w:color w:val="000000"/>
          <w:sz w:val="22"/>
        </w:rPr>
        <w:t>means rules or provisions in rules that define the meaning of a statute or other provision of law or precedent where the agency does not possess the delegated authority to bind the courts to any extent with its definition.</w:t>
      </w:r>
    </w:p>
    <w:p>
      <w:pPr>
        <w:spacing w:before="0" w:after="0"/>
        <w:ind w:left="120"/>
        <w:jc w:val="both"/>
      </w:pPr>
      <w:r>
        <w:rPr>
          <w:rFonts w:ascii="Times New Roman" w:hAnsi="Times New Roman"/>
          <w:b/>
          <w:i w:val="false"/>
          <w:color w:val="000000"/>
          <w:sz w:val="22"/>
        </w:rPr>
        <w:t>2504.1(3)</w:t>
      </w:r>
      <w:r>
        <w:rPr>
          <w:rFonts w:ascii="Times New Roman" w:hAnsi="Times New Roman"/>
          <w:b w:val="false"/>
          <w:i w:val="false"/>
          <w:color w:val="000000"/>
          <w:sz w:val="22"/>
        </w:rPr>
        <w:t> </w:t>
      </w:r>
      <w:r>
        <w:rPr>
          <w:rFonts w:ascii="Times New Roman" w:hAnsi="Times New Roman"/>
          <w:b w:val="false"/>
          <w:i w:val="false"/>
          <w:color w:val="000000"/>
          <w:sz w:val="22"/>
        </w:rPr>
        <w:t>A petitioner seeking to have a rule waived is obligated to file the petition for waiver at the agency’s address or agency’s email. The petition for waiver is considered filed when received at either address. The agency will provide the petitioner with a file-stamped copy of the petition upon request. The agency can only accept petitions for waiver that are typewritten or legibly handwritten in ink. Petitioners are also obligated to submit the petition so that it substantially conforms with the following:</w:t>
      </w:r>
    </w:p>
    <w:tbl>
      <w:tblPr>
        <w:tblW w:w="0" w:type="auto"/>
        <w:tblCellSpacing w:w="0" w:type="auto"/>
        <w:tblBorders>
          <w:top w:val="none"/>
          <w:left w:val="none"/>
          <w:bottom w:val="none"/>
          <w:right w:val="none"/>
          <w:insideH w:val="none"/>
          <w:insideV w:val="none"/>
        </w:tblBorders>
      </w:tblPr>
      <w:tblGrid>
        <w:gridCol w:w="5376"/>
        <w:gridCol w:w="5376"/>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BEFORE THE [INSERT NAME OF AGENCY]</w:t>
            </w:r>
          </w:p>
        </w:tc>
      </w:tr>
      <w:tr>
        <w:trPr>
          <w:trHeight w:val="2445" w:hRule="atLeast"/>
        </w:trPr>
        <w:tc>
          <w:tcPr>
            <w:tcW w:w="5376"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Petition by [name of petitioner]</w:t>
            </w:r>
            <w:r>
              <w:br/>
            </w:r>
            <w:r>
              <w:rPr>
                <w:rFonts w:ascii="Times New Roman" w:hAnsi="Times New Roman"/>
                <w:b w:val="false"/>
                <w:i w:val="false"/>
                <w:color w:val="000000"/>
                <w:sz w:val="24"/>
              </w:rPr>
              <w:t xml:space="preserve"> for the waiver of [rule citation]</w:t>
            </w:r>
            <w:r>
              <w:br/>
            </w:r>
            <w:r>
              <w:rPr>
                <w:rFonts w:ascii="Times New Roman" w:hAnsi="Times New Roman"/>
                <w:b w:val="false"/>
                <w:i w:val="false"/>
                <w:color w:val="000000"/>
                <w:sz w:val="24"/>
              </w:rPr>
              <w:t xml:space="preserve"> related to [state subject matter].</w:t>
            </w:r>
          </w:p>
          <w:p>
            <w:pPr>
              <w:spacing w:before="0" w:after="0" w:line="480"/>
              <w:ind w:left="160"/>
              <w:jc w:val="left"/>
            </w:pPr>
            <w:r>
              <w:rPr>
                <w:rFonts w:ascii="Times New Roman" w:hAnsi="Times New Roman"/>
                <w:b w:val="false"/>
                <w:i w:val="false"/>
                <w:color w:val="000000"/>
                <w:sz w:val="24"/>
              </w:rPr>
              <w:t> </w:t>
            </w:r>
          </w:p>
        </w:tc>
        <w:tc>
          <w:tcPr>
            <w:tcW w:w="5376"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WAIVER</w:t>
            </w:r>
          </w:p>
        </w:tc>
      </w:tr>
    </w:tbl>
    <w:p>
      <w:pPr>
        <w:spacing w:before="0" w:after="0"/>
        <w:ind w:left="120"/>
        <w:jc w:val="both"/>
      </w:pPr>
      <w:r>
        <w:rPr>
          <w:rFonts w:ascii="Times New Roman" w:hAnsi="Times New Roman"/>
          <w:b w:val="false"/>
          <w:i w:val="false"/>
          <w:color w:val="000000"/>
          <w:sz w:val="22"/>
        </w:rPr>
        <w:t>6. If applicable, a complete history of any prior contacts between the petitioner and the agency relating to the activity or license affected by the proposed waiver, including audits, notices of assessment, refund claims, appeals, a description of each affected license held by the requester, any notices of violation,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xml:space="preserve">11. A dated signature by the petitioner or, if applicable, petitioner’s representative. Petitions submitted by a representative must have a valid IDR power of attorney form or representative certification form, as applicable in accordance with rule </w:t>
      </w:r>
      <w:hyperlink r:id="rId4">
        <w:r>
          <w:rPr>
            <w:rStyle w:val="Hyperlink"/>
            <w:rFonts w:ascii="Times New Roman" w:hAnsi="Times New Roman"/>
            <w:b w:val="false"/>
            <w:i w:val="false"/>
            <w:color w:val="000000"/>
            <w:sz w:val="22"/>
          </w:rPr>
          <w:t>701—2507.6</w:t>
        </w:r>
      </w:hyperlink>
      <w:r>
        <w:rPr>
          <w:rFonts w:ascii="Times New Roman" w:hAnsi="Times New Roman"/>
          <w:b w:val="false"/>
          <w:i w:val="false"/>
          <w:color w:val="000000"/>
          <w:sz w:val="22"/>
        </w:rPr>
        <w:t>(17A), on file with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7.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