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701—230.6</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230.6(1)</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department. </w:t>
      </w:r>
      <w:r>
        <w:rPr>
          <w:rFonts w:ascii="Times New Roman" w:hAnsi="Times New Roman"/>
          <w:b w:val="false"/>
          <w:i w:val="false"/>
          <w:color w:val="000000"/>
          <w:sz w:val="22"/>
        </w:rPr>
        <w:t xml:space="preserve">Any permit revocation by the department under Iowa Code chapter </w:t>
      </w:r>
      <w:hyperlink r:id="rId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this rule is subject to the requirements of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701—Chapter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230.6(2)</w:t>
      </w:r>
      <w:r>
        <w:rPr>
          <w:rFonts w:ascii="Times New Roman" w:hAnsi="Times New Roman"/>
          <w:b w:val="false"/>
          <w:i w:val="false"/>
          <w:color w:val="000000"/>
          <w:sz w:val="22"/>
        </w:rPr>
        <w:t> </w:t>
      </w:r>
      <w:r>
        <w:rPr>
          <w:rFonts w:ascii="Times New Roman" w:hAnsi="Times New Roman"/>
          <w:b w:val="false"/>
          <w:i/>
          <w:color w:val="000000"/>
          <w:sz w:val="22"/>
        </w:rPr>
        <w:t xml:space="preserve">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the permit of any permit holder who becomes substantially delinquent in paying any tax that is administered by the department or the interest or penalty on the tax. Rule </w:t>
      </w:r>
      <w:hyperlink r:id="rId7">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describes what constitutes being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corporation, the department may revoke the permit if any officer, with a substantial legal or equitable interest in the ownership of the corporation, owes any delinquent tax, penalty, or interest of the applicant corporation. In this latter instance,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partnership, a permit cannot be revoked for a partner’s substantial delinquency in paying any tax, penalty, or interest that is not a liability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230.6(3)</w:t>
      </w:r>
      <w:r>
        <w:rPr>
          <w:rFonts w:ascii="Times New Roman" w:hAnsi="Times New Roman"/>
          <w:b w:val="false"/>
          <w:i w:val="false"/>
          <w:color w:val="000000"/>
          <w:sz w:val="22"/>
        </w:rPr>
        <w:t> </w:t>
      </w:r>
      <w:r>
        <w:rPr>
          <w:rFonts w:ascii="Times New Roman" w:hAnsi="Times New Roman"/>
          <w:b w:val="false"/>
          <w:i/>
          <w:color w:val="000000"/>
          <w:sz w:val="22"/>
        </w:rPr>
        <w:t xml:space="preserve">Revocation by a local jurisdiction. </w:t>
      </w:r>
      <w:r>
        <w:rPr>
          <w:rFonts w:ascii="Times New Roman" w:hAnsi="Times New Roman"/>
          <w:b w:val="false"/>
          <w:i w:val="false"/>
          <w:color w:val="000000"/>
          <w:sz w:val="22"/>
        </w:rPr>
        <w:t xml:space="preserve">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does not apply to boards of supervisors or city councils. As a result, any permit revocation by a board of supervisors or city council is subject to the procedure or policy adopted by such board of supervisors or city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230.6(4)</w:t>
      </w:r>
      <w:r>
        <w:rPr>
          <w:rFonts w:ascii="Times New Roman" w:hAnsi="Times New Roman"/>
          <w:b w:val="false"/>
          <w:i w:val="false"/>
          <w:color w:val="000000"/>
          <w:sz w:val="22"/>
        </w:rPr>
        <w:t> </w:t>
      </w:r>
      <w:r>
        <w:rPr>
          <w:rFonts w:ascii="Times New Roman" w:hAnsi="Times New Roman"/>
          <w:b w:val="false"/>
          <w:i/>
          <w:color w:val="000000"/>
          <w:sz w:val="22"/>
        </w:rPr>
        <w:t xml:space="preserve">Revocations for child support violations. </w:t>
      </w:r>
      <w:r>
        <w:rPr>
          <w:rFonts w:ascii="Times New Roman" w:hAnsi="Times New Roman"/>
          <w:b w:val="false"/>
          <w:i w:val="false"/>
          <w:color w:val="000000"/>
          <w:sz w:val="22"/>
        </w:rPr>
        <w:t xml:space="preserve">The department will revoke a permit of a permit holder, who is an individual, if the department has received a certificate of noncompliance from child support services in regard to the permit holder unless the unit furnishes the department with a withdrawal of the certificate of noncompliance. The board of supervisors or the city council that issued a retail permit is required by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to revoke the permit of any retailer who is an individual if the board or council has received a certificate of noncompliance from child support services in regard to the retailer unless the unit furnishes the board of supervisors or the city council with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sections </w:t>
      </w:r>
      <w:hyperlink r:id="rId11">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453A.44(11)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453A.48(2)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pdf"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ac/chapter/701.2506.pdf" Type="http://schemas.openxmlformats.org/officeDocument/2006/relationships/hyperlink" Id="rId6"/>
    <Relationship TargetMode="External" Target="https://www.legis.iowa.gov/docs/iac/rule/701.201.10.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453A.13.pdf" Type="http://schemas.openxmlformats.org/officeDocument/2006/relationships/hyperlink" Id="rId11"/>
    <Relationship TargetMode="External" Target="https://www.legis.iowa.gov/docs/ico/chapter/453A.22.pdf" Type="http://schemas.openxmlformats.org/officeDocument/2006/relationships/hyperlink" Id="rId12"/>
    <Relationship TargetMode="External" Target="https://www.legis.iowa.gov/docs/ico/chapter/453A.44.pdf" Type="http://schemas.openxmlformats.org/officeDocument/2006/relationships/hyperlink" Id="rId13"/>
    <Relationship TargetMode="External" Target="https://www.legis.iowa.gov/docs/ico/chapter/453A.48.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