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of the department. </w:t>
      </w:r>
      <w:r>
        <w:rPr>
          <w:rFonts w:ascii="Times New Roman" w:hAnsi="Times New Roman"/>
          <w:b w:val="false"/>
          <w:i w:val="false"/>
          <w:color w:val="000000"/>
          <w:sz w:val="22"/>
        </w:rPr>
        <w:t>The department consists of the director, the lottery division, and other such divisions as the director may from time to time establish, abolish, or consolidate.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The office of the director. </w:t>
      </w:r>
      <w:r>
        <w:rPr>
          <w:rFonts w:ascii="Times New Roman" w:hAnsi="Times New Roman"/>
          <w:b w:val="false"/>
          <w:i w:val="false"/>
          <w:color w:val="000000"/>
          <w:sz w:val="22"/>
        </w:rPr>
        <w:t>The essential functions of the office of the director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Overall management of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Strategic planning and coordination of the future operations and goals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financial checks and balances within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Facilitation of a working relationship between the public sector and the private sector.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For ease of administration, the director has organized the department into divisions and, in some instances, has organized those divisions into bureaus, sections, subsections, and units. Except for the lottery division, the director may from time to time establish, abolish, or consolidate the department’s administrative divisions as the director deems necessary in order to more efficiently and effectively carry out the department’s responsibilities. Such divisions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Alcohol and tax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Alcohol and tax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Lottery.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Research and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Designee. </w:t>
      </w:r>
      <w:r>
        <w:rPr>
          <w:rFonts w:ascii="Times New Roman" w:hAnsi="Times New Roman"/>
          <w:b w:val="false"/>
          <w:i w:val="false"/>
          <w:color w:val="000000"/>
          <w:sz w:val="22"/>
        </w:rPr>
        <w:t>Unless otherwise delegated in statute, in rule, or otherwise in writing by the director, only the director, deputy director, or chief legal officer may enter into contracts or agreements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the alcoholic beverages commission. </w:t>
      </w:r>
      <w:r>
        <w:rPr>
          <w:rFonts w:ascii="Times New Roman" w:hAnsi="Times New Roman"/>
          <w:b w:val="false"/>
          <w:i w:val="false"/>
          <w:color w:val="000000"/>
          <w:sz w:val="22"/>
        </w:rPr>
        <w:t xml:space="preserve">The alcoholic beverages commission consists of five commission members appointed by the governor and confirmed by the senate.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the lottery commission. </w:t>
      </w:r>
      <w:r>
        <w:rPr>
          <w:rFonts w:ascii="Times New Roman" w:hAnsi="Times New Roman"/>
          <w:b w:val="false"/>
          <w:i w:val="false"/>
          <w:color w:val="000000"/>
          <w:sz w:val="22"/>
        </w:rPr>
        <w:t xml:space="preserve">The lottery commission consists of five members appointed by the governor and confirmed by the senate.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