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701—103.19</w:t>
      </w:r>
      <w:r>
        <w:rPr>
          <w:rFonts w:ascii="Times New Roman" w:hAnsi="Times New Roman"/>
          <w:b/>
          <w:i w:val="false"/>
          <w:color w:val="000000"/>
          <w:sz w:val="22"/>
        </w:rPr>
        <w:t xml:space="preserve">(441) </w:t>
      </w:r>
      <w:r>
        <w:rPr>
          <w:rFonts w:ascii="Times New Roman" w:hAnsi="Times New Roman"/>
          <w:b/>
          <w:i w:val="false"/>
          <w:color w:val="000000"/>
          <w:sz w:val="22"/>
        </w:rPr>
        <w:t xml:space="preserve">Appeals of director’s rejection of assessor appointment or reappointment.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103.19(1)</w:t>
      </w:r>
      <w:r>
        <w:rPr>
          <w:rFonts w:ascii="Times New Roman" w:hAnsi="Times New Roman"/>
          <w:b w:val="false"/>
          <w:i w:val="false"/>
          <w:color w:val="000000"/>
          <w:sz w:val="22"/>
        </w:rPr>
        <w:t> </w:t>
      </w:r>
      <w:r>
        <w:rPr>
          <w:rFonts w:ascii="Times New Roman" w:hAnsi="Times New Roman"/>
          <w:b w:val="false"/>
          <w:i/>
          <w:color w:val="000000"/>
          <w:sz w:val="22"/>
        </w:rPr>
        <w:t xml:space="preserve">Written request for appeal. </w:t>
      </w:r>
      <w:r>
        <w:rPr>
          <w:rFonts w:ascii="Times New Roman" w:hAnsi="Times New Roman"/>
          <w:b w:val="false"/>
          <w:i w:val="false"/>
          <w:color w:val="000000"/>
          <w:sz w:val="22"/>
        </w:rPr>
        <w:t xml:space="preserve">Any assessor or conference board wishing to contest the director’s rejection of the conference board’s appointment of an assessor under </w:t>
      </w:r>
      <w:hyperlink r:id="rId4">
        <w:r>
          <w:rPr>
            <w:rStyle w:val="Hyperlink"/>
            <w:rFonts w:ascii="Times New Roman" w:hAnsi="Times New Roman"/>
            <w:b w:val="false"/>
            <w:i w:val="false"/>
            <w:color w:val="000000"/>
            <w:sz w:val="22"/>
          </w:rPr>
          <w:t>subrule 103.15(4)</w:t>
        </w:r>
      </w:hyperlink>
      <w:r>
        <w:rPr>
          <w:rFonts w:ascii="Times New Roman" w:hAnsi="Times New Roman"/>
          <w:b w:val="false"/>
          <w:i w:val="false"/>
          <w:color w:val="000000"/>
          <w:sz w:val="22"/>
        </w:rPr>
        <w:t xml:space="preserve"> or reappointment of an assessor under </w:t>
      </w:r>
      <w:hyperlink r:id="rId5">
        <w:r>
          <w:rPr>
            <w:rStyle w:val="Hyperlink"/>
            <w:rFonts w:ascii="Times New Roman" w:hAnsi="Times New Roman"/>
            <w:b w:val="false"/>
            <w:i w:val="false"/>
            <w:color w:val="000000"/>
            <w:sz w:val="22"/>
          </w:rPr>
          <w:t>subrule 103.16(3)</w:t>
        </w:r>
      </w:hyperlink>
      <w:r>
        <w:rPr>
          <w:rFonts w:ascii="Times New Roman" w:hAnsi="Times New Roman"/>
          <w:b w:val="false"/>
          <w:i w:val="false"/>
          <w:color w:val="000000"/>
          <w:sz w:val="22"/>
        </w:rPr>
        <w:t xml:space="preserve"> shall file an appeal, in writing, within 30 days of the director’s notice of decision. Any person who does not seek an appeal within 30 days of the director’s notice shall be precluded from challenging the director’s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103.19(2)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Appeals will be governed by the procedures set forth in this rule together with the procedures set forth 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6">
        <w:r>
          <w:rPr>
            <w:rStyle w:val="Hyperlink"/>
            <w:rFonts w:ascii="Times New Roman" w:hAnsi="Times New Roman"/>
            <w:b w:val="false"/>
            <w:i w:val="false"/>
            <w:color w:val="000000"/>
            <w:sz w:val="22"/>
          </w:rPr>
          <w:t>701—8.8</w:t>
        </w:r>
      </w:hyperlink>
      <w:r>
        <w:rPr>
          <w:rFonts w:ascii="Times New Roman" w:hAnsi="Times New Roman"/>
          <w:b w:val="false"/>
          <w:i w:val="false"/>
          <w:color w:val="000000"/>
          <w:sz w:val="22"/>
        </w:rPr>
        <w:t>(17A,22,421,422).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w:t>
      </w:r>
      <w:hyperlink r:id="rId7">
        <w:r>
          <w:rPr>
            <w:rStyle w:val="Hyperlink"/>
            <w:rFonts w:ascii="Times New Roman" w:hAnsi="Times New Roman"/>
            <w:b w:val="false"/>
            <w:i w:val="false"/>
            <w:color w:val="000000"/>
            <w:sz w:val="22"/>
          </w:rPr>
          <w:t>7—2506.4(17A)</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7—2506.5(17A)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w:t>
      </w:r>
      <w:hyperlink r:id="rId9">
        <w:r>
          <w:rPr>
            <w:rStyle w:val="Hyperlink"/>
            <w:rFonts w:ascii="Times New Roman" w:hAnsi="Times New Roman"/>
            <w:b w:val="false"/>
            <w:i w:val="false"/>
            <w:color w:val="000000"/>
            <w:sz w:val="22"/>
          </w:rPr>
          <w:t>7—2506.12(17A)</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7—2506.14(17A)</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7—2506.15(17A)</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7—2506.20(17A)</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7—2506.22(17A)</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7—2506.25(17A)</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7—2506.27(17A)</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701—2506.25(17A)</w:t>
        </w:r>
      </w:hyperlink>
      <w:r>
        <w:rPr>
          <w:rFonts w:ascii="Times New Roman" w:hAnsi="Times New Roman"/>
          <w:b w:val="false"/>
          <w:i w:val="false"/>
          <w:color w:val="000000"/>
          <w:sz w:val="22"/>
        </w:rPr>
        <w:t xml:space="preserve">; additionally, Iowa Code section </w:t>
      </w:r>
      <w:hyperlink r:id="rId17">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shall not apply; and rules </w:t>
      </w:r>
      <w:hyperlink r:id="rId18">
        <w:r>
          <w:rPr>
            <w:rStyle w:val="Hyperlink"/>
            <w:rFonts w:ascii="Times New Roman" w:hAnsi="Times New Roman"/>
            <w:b w:val="false"/>
            <w:i w:val="false"/>
            <w:color w:val="000000"/>
            <w:sz w:val="22"/>
          </w:rPr>
          <w:t>7—2506.10(17A)</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7—2506.29(17A)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20">
        <w:r>
          <w:rPr>
            <w:rStyle w:val="Hyperlink"/>
            <w:rFonts w:ascii="Times New Roman" w:hAnsi="Times New Roman"/>
            <w:b w:val="false"/>
            <w:i w:val="false"/>
            <w:color w:val="000000"/>
            <w:sz w:val="22"/>
          </w:rPr>
          <w:t>7—2506.13(17A)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21">
        <w:r>
          <w:rPr>
            <w:rStyle w:val="Hyperlink"/>
            <w:rFonts w:ascii="Times New Roman" w:hAnsi="Times New Roman"/>
            <w:b w:val="false"/>
            <w:i w:val="false"/>
            <w:color w:val="000000"/>
            <w:sz w:val="22"/>
          </w:rPr>
          <w:t>7—2506.16(17A)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22">
        <w:r>
          <w:rPr>
            <w:rStyle w:val="Hyperlink"/>
            <w:rFonts w:ascii="Times New Roman" w:hAnsi="Times New Roman"/>
            <w:b w:val="false"/>
            <w:i w:val="false"/>
            <w:color w:val="000000"/>
            <w:sz w:val="22"/>
          </w:rPr>
          <w:t>7—2506.19(17A)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w:t>
      </w:r>
      <w:hyperlink r:id="rId23">
        <w:r>
          <w:rPr>
            <w:rStyle w:val="Hyperlink"/>
            <w:rFonts w:ascii="Times New Roman" w:hAnsi="Times New Roman"/>
            <w:b w:val="false"/>
            <w:i w:val="false"/>
            <w:color w:val="000000"/>
            <w:sz w:val="22"/>
          </w:rPr>
          <w:t>7—2506.21(17A)</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7—2506.24(17A)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25">
        <w:r>
          <w:rPr>
            <w:rStyle w:val="Hyperlink"/>
            <w:rFonts w:ascii="Times New Roman" w:hAnsi="Times New Roman"/>
            <w:b w:val="false"/>
            <w:i w:val="false"/>
            <w:color w:val="000000"/>
            <w:sz w:val="22"/>
          </w:rPr>
          <w:t>7—2506.23(17A)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26">
        <w:r>
          <w:rPr>
            <w:rStyle w:val="Hyperlink"/>
            <w:rFonts w:ascii="Times New Roman" w:hAnsi="Times New Roman"/>
            <w:b w:val="false"/>
            <w:i w:val="false"/>
            <w:color w:val="000000"/>
            <w:sz w:val="22"/>
          </w:rPr>
          <w:t>7—2506.28(17A)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hyperlink r:id="rId27">
        <w:r>
          <w:rPr>
            <w:rStyle w:val="Hyperlink"/>
            <w:rFonts w:ascii="Times New Roman" w:hAnsi="Times New Roman"/>
            <w:b w:val="false"/>
            <w:i w:val="false"/>
            <w:color w:val="000000"/>
            <w:sz w:val="22"/>
          </w:rPr>
          <w:t>701—subrule 2507.3(2)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28">
        <w:r>
          <w:rPr>
            <w:rStyle w:val="Hyperlink"/>
            <w:rFonts w:ascii="Times New Roman" w:hAnsi="Times New Roman"/>
            <w:b w:val="false"/>
            <w:i w:val="false"/>
            <w:color w:val="000000"/>
            <w:sz w:val="22"/>
          </w:rPr>
          <w:t>701—2507.7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introductory paragraph of rule </w:t>
      </w:r>
      <w:hyperlink r:id="rId29">
        <w:r>
          <w:rPr>
            <w:rStyle w:val="Hyperlink"/>
            <w:rFonts w:ascii="Times New Roman" w:hAnsi="Times New Roman"/>
            <w:b w:val="false"/>
            <w:i w:val="false"/>
            <w:color w:val="000000"/>
            <w:sz w:val="22"/>
          </w:rPr>
          <w:t>701—2507.8</w:t>
        </w:r>
      </w:hyperlink>
      <w:r>
        <w:rPr>
          <w:rFonts w:ascii="Times New Roman" w:hAnsi="Times New Roman"/>
          <w:b w:val="false"/>
          <w:i w:val="false"/>
          <w:color w:val="000000"/>
          <w:sz w:val="22"/>
        </w:rPr>
        <w:t xml:space="preserve">(17A) and </w:t>
      </w:r>
      <w:hyperlink r:id="rId30">
        <w:r>
          <w:rPr>
            <w:rStyle w:val="Hyperlink"/>
            <w:rFonts w:ascii="Times New Roman" w:hAnsi="Times New Roman"/>
            <w:b w:val="false"/>
            <w:i w:val="false"/>
            <w:color w:val="000000"/>
            <w:sz w:val="22"/>
          </w:rPr>
          <w:t>701—subrule 2507.8(6)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701—subrules </w:t>
      </w:r>
      <w:hyperlink r:id="rId31">
        <w:r>
          <w:rPr>
            <w:rStyle w:val="Hyperlink"/>
            <w:rFonts w:ascii="Times New Roman" w:hAnsi="Times New Roman"/>
            <w:b w:val="false"/>
            <w:i w:val="false"/>
            <w:color w:val="000000"/>
            <w:sz w:val="22"/>
          </w:rPr>
          <w:t>2507.11(1)</w:t>
        </w:r>
      </w:hyperlink>
      <w:r>
        <w:rPr>
          <w:rFonts w:ascii="Times New Roman" w:hAnsi="Times New Roman"/>
          <w:b w:val="false"/>
          <w:i w:val="false"/>
          <w:color w:val="000000"/>
          <w:sz w:val="22"/>
        </w:rPr>
        <w:t xml:space="preserve"> through </w:t>
      </w:r>
      <w:hyperlink r:id="rId32">
        <w:r>
          <w:rPr>
            <w:rStyle w:val="Hyperlink"/>
            <w:rFonts w:ascii="Times New Roman" w:hAnsi="Times New Roman"/>
            <w:b w:val="false"/>
            <w:i w:val="false"/>
            <w:color w:val="000000"/>
            <w:sz w:val="22"/>
          </w:rPr>
          <w:t>2507.11(3)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33">
        <w:r>
          <w:rPr>
            <w:rStyle w:val="Hyperlink"/>
            <w:rFonts w:ascii="Times New Roman" w:hAnsi="Times New Roman"/>
            <w:b w:val="false"/>
            <w:i w:val="false"/>
            <w:color w:val="000000"/>
            <w:sz w:val="22"/>
          </w:rPr>
          <w:t>701—2507.13</w:t>
        </w:r>
      </w:hyperlink>
      <w:r>
        <w:rPr>
          <w:rFonts w:ascii="Times New Roman" w:hAnsi="Times New Roman"/>
          <w:b w:val="false"/>
          <w:i w:val="false"/>
          <w:color w:val="000000"/>
          <w:sz w:val="22"/>
        </w:rPr>
        <w:t>(17A,421).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701—subrules </w:t>
      </w:r>
      <w:hyperlink r:id="rId34">
        <w:r>
          <w:rPr>
            <w:rStyle w:val="Hyperlink"/>
            <w:rFonts w:ascii="Times New Roman" w:hAnsi="Times New Roman"/>
            <w:b w:val="false"/>
            <w:i w:val="false"/>
            <w:color w:val="000000"/>
            <w:sz w:val="22"/>
          </w:rPr>
          <w:t>2507.14(1)</w:t>
        </w:r>
      </w:hyperlink>
      <w:r>
        <w:rPr>
          <w:rFonts w:ascii="Times New Roman" w:hAnsi="Times New Roman"/>
          <w:b w:val="false"/>
          <w:i w:val="false"/>
          <w:color w:val="000000"/>
          <w:sz w:val="22"/>
        </w:rPr>
        <w:t xml:space="preserve"> through </w:t>
      </w:r>
      <w:hyperlink r:id="rId35">
        <w:r>
          <w:rPr>
            <w:rStyle w:val="Hyperlink"/>
            <w:rFonts w:ascii="Times New Roman" w:hAnsi="Times New Roman"/>
            <w:b w:val="false"/>
            <w:i w:val="false"/>
            <w:color w:val="000000"/>
            <w:sz w:val="22"/>
          </w:rPr>
          <w:t>2507.14(3)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36">
        <w:r>
          <w:rPr>
            <w:rStyle w:val="Hyperlink"/>
            <w:rFonts w:ascii="Times New Roman" w:hAnsi="Times New Roman"/>
            <w:b w:val="false"/>
            <w:i w:val="false"/>
            <w:color w:val="000000"/>
            <w:sz w:val="22"/>
          </w:rPr>
          <w:t>701—2507.15</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103.19(3)</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director shall be the presiding officer in a contested case under this rule. The director may request that an administrative law judge assist and advise the director with any matters related to the contested case proceedings, including but not limited to ruling on any prehearing matters, presiding at the contested case hearing, and issuing orders and rulings.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103.19(4)</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appeal. </w:t>
      </w:r>
      <w:r>
        <w:rPr>
          <w:rFonts w:ascii="Times New Roman" w:hAnsi="Times New Roman"/>
          <w:b w:val="false"/>
          <w:i w:val="false"/>
          <w:color w:val="000000"/>
          <w:sz w:val="22"/>
        </w:rPr>
        <w:t>The appeal shall contain the following in separate numbered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department action giving rise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the department action giving rise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error alleged to have been committed, listed as a separate paragraph. For each error listed, an explanation of the error and all relevant facts related to the error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Reference to the particular statutes, rules, or agreement terms,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References to and copies of any documents or other evidence relevant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matters deemed relevant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setting forth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signature, mailing address, and telephone number of the person or that person’s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103.19(5)</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w:t>
      </w:r>
      <w:r>
        <w:rPr>
          <w:rFonts w:ascii="Times New Roman" w:hAnsi="Times New Roman"/>
          <w:b w:val="false"/>
          <w:i w:val="false"/>
          <w:color w:val="000000"/>
          <w:sz w:val="22"/>
        </w:rPr>
        <w:t xml:space="preserve">The burden of proof is on the party challenging the director’s decision under subrule </w:t>
      </w:r>
      <w:hyperlink r:id="rId37">
        <w:r>
          <w:rPr>
            <w:rStyle w:val="Hyperlink"/>
            <w:rFonts w:ascii="Times New Roman" w:hAnsi="Times New Roman"/>
            <w:b w:val="false"/>
            <w:i w:val="false"/>
            <w:color w:val="000000"/>
            <w:sz w:val="22"/>
          </w:rPr>
          <w:t>103.15(4)</w:t>
        </w:r>
      </w:hyperlink>
      <w:r>
        <w:rPr>
          <w:rFonts w:ascii="Times New Roman" w:hAnsi="Times New Roman"/>
          <w:b w:val="false"/>
          <w:i w:val="false"/>
          <w:color w:val="000000"/>
          <w:sz w:val="22"/>
        </w:rPr>
        <w:t xml:space="preserve"> or </w:t>
      </w:r>
      <w:hyperlink r:id="rId38">
        <w:r>
          <w:rPr>
            <w:rStyle w:val="Hyperlink"/>
            <w:rFonts w:ascii="Times New Roman" w:hAnsi="Times New Roman"/>
            <w:b w:val="false"/>
            <w:i w:val="false"/>
            <w:color w:val="000000"/>
            <w:sz w:val="22"/>
          </w:rPr>
          <w:t>103.16(3)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9">
        <w:r>
          <w:rPr>
            <w:rStyle w:val="Hyperlink"/>
            <w:rFonts w:ascii="Times New Roman" w:hAnsi="Times New Roman"/>
            <w:b w:val="false"/>
            <w:i w:val="false"/>
            <w:color w:val="000000"/>
            <w:sz w:val="22"/>
          </w:rPr>
          <w:t>441.6(3)</w:t>
        </w:r>
      </w:hyperlink>
      <w:r>
        <w:rPr>
          <w:rFonts w:ascii="Times New Roman" w:hAnsi="Times New Roman"/>
          <w:b w:val="false"/>
          <w:i w:val="false"/>
          <w:color w:val="000000"/>
          <w:sz w:val="22"/>
        </w:rPr>
        <w:t xml:space="preserve"> and chapter </w:t>
      </w:r>
      <w:hyperlink r:id="rId4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sectPr>
      <w:footerReference r:id="rId41"/>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103.15.pdf" Type="http://schemas.openxmlformats.org/officeDocument/2006/relationships/hyperlink" Id="rId4"/>
    <Relationship TargetMode="External" Target="https://www.legis.iowa.gov/docs/iac/rule/701.103.16.pdf" Type="http://schemas.openxmlformats.org/officeDocument/2006/relationships/hyperlink" Id="rId5"/>
    <Relationship TargetMode="External" Target="https://www.legis.iowa.gov/docs/iac/rule/701.8.8.pdf" Type="http://schemas.openxmlformats.org/officeDocument/2006/relationships/hyperlink" Id="rId6"/>
    <Relationship TargetMode="External" Target="https://www.legis.iowa.gov/docs/iac/rule/7.2506.4.pdf" Type="http://schemas.openxmlformats.org/officeDocument/2006/relationships/hyperlink" Id="rId7"/>
    <Relationship TargetMode="External" Target="https://www.legis.iowa.gov/docs/iac/rule/7.2506.5.pdf" Type="http://schemas.openxmlformats.org/officeDocument/2006/relationships/hyperlink" Id="rId8"/>
    <Relationship TargetMode="External" Target="https://www.legis.iowa.gov/docs/iac/rule/7.2506.12.pdf" Type="http://schemas.openxmlformats.org/officeDocument/2006/relationships/hyperlink" Id="rId9"/>
    <Relationship TargetMode="External" Target="https://www.legis.iowa.gov/docs/iac/rule/7.2506.14.pdf" Type="http://schemas.openxmlformats.org/officeDocument/2006/relationships/hyperlink" Id="rId10"/>
    <Relationship TargetMode="External" Target="https://www.legis.iowa.gov/docs/iac/rule/7.2506.15.pdf" Type="http://schemas.openxmlformats.org/officeDocument/2006/relationships/hyperlink" Id="rId11"/>
    <Relationship TargetMode="External" Target="https://www.legis.iowa.gov/docs/iac/rule/7.2506.20.pdf" Type="http://schemas.openxmlformats.org/officeDocument/2006/relationships/hyperlink" Id="rId12"/>
    <Relationship TargetMode="External" Target="https://www.legis.iowa.gov/docs/iac/rule/7.2506.22.pdf" Type="http://schemas.openxmlformats.org/officeDocument/2006/relationships/hyperlink" Id="rId13"/>
    <Relationship TargetMode="External" Target="https://www.legis.iowa.gov/docs/iac/rule/7.2506.25.pdf" Type="http://schemas.openxmlformats.org/officeDocument/2006/relationships/hyperlink" Id="rId14"/>
    <Relationship TargetMode="External" Target="https://www.legis.iowa.gov/docs/iac/rule/7.2506.27.pdf" Type="http://schemas.openxmlformats.org/officeDocument/2006/relationships/hyperlink" Id="rId15"/>
    <Relationship TargetMode="External" Target="https://www.legis.iowa.gov/docs/iac/rule/701.2506.25.pdf" Type="http://schemas.openxmlformats.org/officeDocument/2006/relationships/hyperlink" Id="rId16"/>
    <Relationship TargetMode="External" Target="https://www.legis.iowa.gov/docs/ico/chapter/421.60.pdf" Type="http://schemas.openxmlformats.org/officeDocument/2006/relationships/hyperlink" Id="rId17"/>
    <Relationship TargetMode="External" Target="https://www.legis.iowa.gov/docs/iac/rule/7.2506.10.pdf" Type="http://schemas.openxmlformats.org/officeDocument/2006/relationships/hyperlink" Id="rId18"/>
    <Relationship TargetMode="External" Target="https://www.legis.iowa.gov/docs/iac/rule/7.2506.29.pdf" Type="http://schemas.openxmlformats.org/officeDocument/2006/relationships/hyperlink" Id="rId19"/>
    <Relationship TargetMode="External" Target="https://www.legis.iowa.gov/docs/iac/rule/7.2506.13.pdf" Type="http://schemas.openxmlformats.org/officeDocument/2006/relationships/hyperlink" Id="rId20"/>
    <Relationship TargetMode="External" Target="https://www.legis.iowa.gov/docs/iac/rule/7.2506.16.pdf" Type="http://schemas.openxmlformats.org/officeDocument/2006/relationships/hyperlink" Id="rId21"/>
    <Relationship TargetMode="External" Target="https://www.legis.iowa.gov/docs/iac/rule/7.2506.19.pdf" Type="http://schemas.openxmlformats.org/officeDocument/2006/relationships/hyperlink" Id="rId22"/>
    <Relationship TargetMode="External" Target="https://www.legis.iowa.gov/docs/iac/rule/7.2506.21.pdf" Type="http://schemas.openxmlformats.org/officeDocument/2006/relationships/hyperlink" Id="rId23"/>
    <Relationship TargetMode="External" Target="https://www.legis.iowa.gov/docs/iac/rule/7.2506.24.pdf" Type="http://schemas.openxmlformats.org/officeDocument/2006/relationships/hyperlink" Id="rId24"/>
    <Relationship TargetMode="External" Target="https://www.legis.iowa.gov/docs/iac/rule/7.2506.23.pdf" Type="http://schemas.openxmlformats.org/officeDocument/2006/relationships/hyperlink" Id="rId25"/>
    <Relationship TargetMode="External" Target="https://www.legis.iowa.gov/docs/iac/rule/7.2506.28.pdf" Type="http://schemas.openxmlformats.org/officeDocument/2006/relationships/hyperlink" Id="rId26"/>
    <Relationship TargetMode="External" Target="https://www.legis.iowa.gov/docs/iac/rule/701.2507.3.pdf" Type="http://schemas.openxmlformats.org/officeDocument/2006/relationships/hyperlink" Id="rId27"/>
    <Relationship TargetMode="External" Target="https://www.legis.iowa.gov/docs/iac/rule/701.2507.7.pdf" Type="http://schemas.openxmlformats.org/officeDocument/2006/relationships/hyperlink" Id="rId28"/>
    <Relationship TargetMode="External" Target="https://www.legis.iowa.gov/docs/iac/rule/701.2507.8.pdf" Type="http://schemas.openxmlformats.org/officeDocument/2006/relationships/hyperlink" Id="rId29"/>
    <Relationship TargetMode="External" Target="https://www.legis.iowa.gov/docs/iac/rule/701.2507.8.pdf" Type="http://schemas.openxmlformats.org/officeDocument/2006/relationships/hyperlink" Id="rId30"/>
    <Relationship TargetMode="External" Target="https://www.legis.iowa.gov/docs/iac/rule/701.2507.11.pdf" Type="http://schemas.openxmlformats.org/officeDocument/2006/relationships/hyperlink" Id="rId31"/>
    <Relationship TargetMode="External" Target="https://www.legis.iowa.gov/docs/iac/rule/701.2507.11.pdf" Type="http://schemas.openxmlformats.org/officeDocument/2006/relationships/hyperlink" Id="rId32"/>
    <Relationship TargetMode="External" Target="https://www.legis.iowa.gov/docs/iac/rule/701.2507.13.pdf" Type="http://schemas.openxmlformats.org/officeDocument/2006/relationships/hyperlink" Id="rId33"/>
    <Relationship TargetMode="External" Target="https://www.legis.iowa.gov/docs/iac/rule/701.2507.14.pdf" Type="http://schemas.openxmlformats.org/officeDocument/2006/relationships/hyperlink" Id="rId34"/>
    <Relationship TargetMode="External" Target="https://www.legis.iowa.gov/docs/iac/rule/701.2507.14.pdf" Type="http://schemas.openxmlformats.org/officeDocument/2006/relationships/hyperlink" Id="rId35"/>
    <Relationship TargetMode="External" Target="https://www.legis.iowa.gov/docs/iac/rule/701.2507.15.pdf" Type="http://schemas.openxmlformats.org/officeDocument/2006/relationships/hyperlink" Id="rId36"/>
    <Relationship TargetMode="External" Target="https://www.legis.iowa.gov/docs/iac/rule/701.103.15.pdf" Type="http://schemas.openxmlformats.org/officeDocument/2006/relationships/hyperlink" Id="rId37"/>
    <Relationship TargetMode="External" Target="https://www.legis.iowa.gov/docs/iac/rule/701.103.16.pdf" Type="http://schemas.openxmlformats.org/officeDocument/2006/relationships/hyperlink" Id="rId38"/>
    <Relationship TargetMode="External" Target="https://www.legis.iowa.gov/docs/ico/chapter/441.6.pdf" Type="http://schemas.openxmlformats.org/officeDocument/2006/relationships/hyperlink" Id="rId39"/>
    <Relationship TargetMode="External" Target="https://www.legis.iowa.gov/docs/ico/chapter/17A.pdf" Type="http://schemas.openxmlformats.org/officeDocument/2006/relationships/hyperlink" Id="rId40"/>
    <Relationship Target="footer.xml" Type="http://schemas.openxmlformats.org/officeDocument/2006/relationships/footer"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