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661—87.5</w:t>
      </w:r>
      <w:r>
        <w:rPr>
          <w:rFonts w:ascii="Times New Roman" w:hAnsi="Times New Roman"/>
          <w:b/>
          <w:i w:val="false"/>
          <w:color w:val="000000"/>
          <w:sz w:val="22"/>
        </w:rPr>
        <w:t xml:space="preserve">(34A) </w:t>
      </w:r>
      <w:r>
        <w:rPr>
          <w:rFonts w:ascii="Times New Roman" w:hAnsi="Times New Roman"/>
          <w:b/>
          <w:i w:val="false"/>
          <w:color w:val="000000"/>
          <w:sz w:val="22"/>
        </w:rPr>
        <w:t xml:space="preserve">Procedures to request provider information. </w:t>
      </w:r>
      <w:r>
        <w:rPr>
          <w:rFonts w:ascii="Times New Roman" w:hAnsi="Times New Roman"/>
          <w:b w:val="false"/>
          <w:i w:val="false"/>
          <w:color w:val="000000"/>
          <w:sz w:val="22"/>
        </w:rPr>
        <w:t>Upon a determination by a law enforcement agency or PSAP that emergency location information for a subscriber’s cell phone or other wireless communications device is required, the law enforcement agency or PSAP may contact the interoperability communications bureau to request the contact information for the wireless communications systems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0454D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