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661—81.1</w:t>
      </w:r>
      <w:r>
        <w:rPr>
          <w:rFonts w:ascii="Times New Roman" w:hAnsi="Times New Roman"/>
          <w:b/>
          <w:i w:val="false"/>
          <w:color w:val="000000"/>
          <w:sz w:val="22"/>
        </w:rPr>
        <w:t xml:space="preserve">(692)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the department of public safety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“Criminal intelligence file”</w:t>
      </w:r>
      <w:r>
        <w:rPr>
          <w:rFonts w:ascii="Times New Roman" w:hAnsi="Times New Roman"/>
          <w:b w:val="false"/>
          <w:i w:val="false"/>
          <w:color w:val="000000"/>
          <w:sz w:val="22"/>
        </w:rPr>
        <w:t> </w:t>
      </w:r>
      <w:r>
        <w:rPr>
          <w:rFonts w:ascii="Times New Roman" w:hAnsi="Times New Roman"/>
          <w:b w:val="false"/>
          <w:i w:val="false"/>
          <w:color w:val="000000"/>
          <w:sz w:val="22"/>
        </w:rPr>
        <w:t>means information stored in a criminal intelligence system that is compiled in an effort to anticipate, prevent, or monitor possible criminal activity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individual who, based upon reasonable grounds, is believed to be involved in the actual or attempted planning, organization, financing, promotion, or commission of criminal acts or is believed to be involved in criminal activities with known or suspected criminal offenders.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group, organization or business that, based on reasonable grounds, is believed to be involved in the actual or attempted planning, organization, financing, promotion, or commission of criminal acts, or of being illegally operated, controlled, financed, promoted, or infiltrated by known or suspected criminal offenders.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incident in which sufficient articulable facts give a trained law enforcement or criminal investigative agency officer, investigator, or employee a basis to believe that a definable criminal activity or enterprise is, has been, or may be committed.</w:t>
      </w:r>
    </w:p>
    <w:p>
      <w:pPr>
        <w:spacing w:before="0" w:after="0"/>
        <w:ind w:left="120"/>
        <w:jc w:val="both"/>
      </w:pPr>
      <w:r>
        <w:rPr>
          <w:rFonts w:ascii="Times New Roman" w:hAnsi="Times New Roman"/>
          <w:b w:val="false"/>
          <w:i w:val="false"/>
          <w:color w:val="000000"/>
          <w:sz w:val="22"/>
        </w:rPr>
        <w:t xml:space="preserve">“Criminal intelligence file” does not include surveillance data as defined in Iowa Code section </w:t>
      </w:r>
      <w:hyperlink r:id="rId4">
        <w:r>
          <w:rPr>
            <w:rStyle w:val="Hyperlink"/>
            <w:rFonts w:ascii="Times New Roman" w:hAnsi="Times New Roman"/>
            <w:b w:val="false"/>
            <w:i w:val="false"/>
            <w:color w:val="000000"/>
            <w:sz w:val="22"/>
          </w:rPr>
          <w:t>692.1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“Criminal intelligence system”</w:t>
      </w:r>
      <w:r>
        <w:rPr>
          <w:rFonts w:ascii="Times New Roman" w:hAnsi="Times New Roman"/>
          <w:b w:val="false"/>
          <w:i w:val="false"/>
          <w:color w:val="000000"/>
          <w:sz w:val="22"/>
        </w:rPr>
        <w:t> </w:t>
      </w:r>
      <w:r>
        <w:rPr>
          <w:rFonts w:ascii="Times New Roman" w:hAnsi="Times New Roman"/>
          <w:b w:val="false"/>
          <w:i w:val="false"/>
          <w:color w:val="000000"/>
          <w:sz w:val="22"/>
        </w:rPr>
        <w:t>means the arrangements, equipment, facilities, and procedures used for the receipt, storage, interagency exchange or dissemination, and analysis of criminal intelligence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 to know”</w:t>
      </w:r>
      <w:r>
        <w:rPr>
          <w:rFonts w:ascii="Times New Roman" w:hAnsi="Times New Roman"/>
          <w:b w:val="false"/>
          <w:i w:val="false"/>
          <w:color w:val="000000"/>
          <w:sz w:val="22"/>
        </w:rPr>
        <w:t> </w:t>
      </w:r>
      <w:r>
        <w:rPr>
          <w:rFonts w:ascii="Times New Roman" w:hAnsi="Times New Roman"/>
          <w:b w:val="false"/>
          <w:i w:val="false"/>
          <w:color w:val="000000"/>
          <w:sz w:val="22"/>
        </w:rPr>
        <w:t>is established if criminal intelligence information will assist a recipient in anticipating, investigating, monitoring, or preventing possible criminal activity or if criminal intelligence information is pertinent to protecting a person or property from a threat of imminent serious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“Noncriminal identifying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the characteristics and associations of an identifiable person suspected of being involved in criminal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grounds”</w:t>
      </w:r>
      <w:r>
        <w:rPr>
          <w:rFonts w:ascii="Times New Roman" w:hAnsi="Times New Roman"/>
          <w:b w:val="false"/>
          <w:i w:val="false"/>
          <w:color w:val="000000"/>
          <w:sz w:val="22"/>
        </w:rPr>
        <w:t> </w:t>
      </w:r>
      <w:r>
        <w:rPr>
          <w:rFonts w:ascii="Times New Roman" w:hAnsi="Times New Roman"/>
          <w:b w:val="false"/>
          <w:i w:val="false"/>
          <w:color w:val="000000"/>
          <w:sz w:val="22"/>
        </w:rPr>
        <w:t>means information that establishes sufficient articulable facts that give a trained law enforcement or criminal investigative agency officer, investigator, or employee a reasonable basis to believe that a definable criminal activity or enterprise is, has been, or may be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 to know”</w:t>
      </w:r>
      <w:r>
        <w:rPr>
          <w:rFonts w:ascii="Times New Roman" w:hAnsi="Times New Roman"/>
          <w:b w:val="false"/>
          <w:i w:val="false"/>
          <w:color w:val="000000"/>
          <w:sz w:val="22"/>
        </w:rPr>
        <w:t> </w:t>
      </w:r>
      <w:r>
        <w:rPr>
          <w:rFonts w:ascii="Times New Roman" w:hAnsi="Times New Roman"/>
          <w:b w:val="false"/>
          <w:i w:val="false"/>
          <w:color w:val="000000"/>
          <w:sz w:val="22"/>
        </w:rPr>
        <w:t>is established when a recipient of criminal intelligence information is legally permitted to receive intelligence data or an intelligence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“Surveillance data”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692.1(16)</w:t>
        </w:r>
      </w:hyperlink>
      <w:r>
        <w:rPr>
          <w:rFonts w:ascii="Times New Roman" w:hAnsi="Times New Roman"/>
          <w:b w:val="false"/>
          <w:i w:val="false"/>
          <w:color w:val="000000"/>
          <w:sz w:val="22"/>
        </w:rPr>
        <w:t>. Noncriminal identifying information does not constitute surveillance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“Threat of imminent serious harm”</w:t>
      </w:r>
      <w:r>
        <w:rPr>
          <w:rFonts w:ascii="Times New Roman" w:hAnsi="Times New Roman"/>
          <w:b w:val="false"/>
          <w:i w:val="false"/>
          <w:color w:val="000000"/>
          <w:sz w:val="22"/>
        </w:rPr>
        <w:t> </w:t>
      </w:r>
      <w:r>
        <w:rPr>
          <w:rFonts w:ascii="Times New Roman" w:hAnsi="Times New Roman"/>
          <w:b w:val="false"/>
          <w:i w:val="false"/>
          <w:color w:val="000000"/>
          <w:sz w:val="22"/>
        </w:rPr>
        <w:t>means a credible impending threat to the safety of a person or property. A threat of imminent serious harm justifies the dissemination of intelligence data or an intelligence assessment for the purpose of protecting a person or property from the threat.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92.1.pdf" Type="http://schemas.openxmlformats.org/officeDocument/2006/relationships/hyperlink" Id="rId4"/>
    <Relationship TargetMode="External" Target="https://www.legis.iowa.gov/docs/ico/chapter/692.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