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441—143.4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Receiving cases in Iowa under the interstate compact.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accept supervision of out-of-state cases when a juvenile meets the requirements of the interstate compact.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exercise the same care and treatment that is given to Iowa cases to notify the sending state promptly of any violations or antisocial behavior that may occur.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receiving state shall promptly upon parole or probation violation notify the sending state. Prior to making a recommendation for revocation of parole or probation, a preliminary hearing shall be held to determine if there is probable cause for revocation of parole or probation.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parolee or probationer from another state held or placed in Iowa under the provisions of article I of the compact and who commits a felony while in Iowa shall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Returned to the sending state per mutual agreement;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Processed according to the Iowa statutes and not returned to the sending state for violation.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0450D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9/1/26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