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441—142.7</w:t>
      </w:r>
      <w:r>
        <w:rPr>
          <w:rFonts w:ascii="Times New Roman" w:hAnsi="Times New Roman"/>
          <w:b/>
          <w:i w:val="false"/>
          <w:color w:val="000000"/>
          <w:sz w:val="22"/>
        </w:rPr>
        <w:t xml:space="preserve">(232)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The requirements of this compact shall be in effect for all placements into Iowa from any state, territory or possession of the United States, the District of Columbia, the Commonwealth of Puerto Rico and, with the consent of Congress, the government of Canada and any province thereof, or from Iowa to any state, territory or possession of the United States, the District of Columbia, the Commonwealth of Puerto Rico and, with the consent of Congress, the government of Canada and any province thereof.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0449D</w:t>
      </w:r>
      <w:r>
        <w:rPr>
          <w:rFonts w:ascii="Times New Roman" w:hAnsi="Times New Roman"/>
          <w:b w:val="false"/>
          <w:i w:val="false"/>
          <w:color w:val="000000"/>
          <w:sz w:val="16"/>
        </w:rPr>
        <w:t>, IAB 7/22/26, effective 9/1/26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