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441—142.6</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VIII(a). </w:t>
      </w:r>
      <w:r>
        <w:rPr>
          <w:rFonts w:ascii="Times New Roman" w:hAnsi="Times New Roman"/>
          <w:b w:val="false"/>
          <w:i w:val="false"/>
          <w:color w:val="000000"/>
          <w:sz w:val="22"/>
        </w:rPr>
        <w:t>For the purpose of article VIII(a), “relative” means stepparent, grandparent, adult brother or sister, or adult uncle or aunt, and “guardian” means any guardian other than that appointed as preliminary to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