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441—142.4</w:t>
      </w:r>
      <w:r>
        <w:rPr>
          <w:rFonts w:ascii="Times New Roman" w:hAnsi="Times New Roman"/>
          <w:b/>
          <w:i w:val="false"/>
          <w:color w:val="000000"/>
          <w:sz w:val="22"/>
        </w:rPr>
        <w:t xml:space="preserve">(232) </w:t>
      </w:r>
      <w:r>
        <w:rPr>
          <w:rFonts w:ascii="Times New Roman" w:hAnsi="Times New Roman"/>
          <w:b/>
          <w:i w:val="false"/>
          <w:color w:val="000000"/>
          <w:sz w:val="22"/>
        </w:rPr>
        <w:t xml:space="preserve">Article III(c). </w:t>
      </w:r>
      <w:r>
        <w:rPr>
          <w:rFonts w:ascii="Times New Roman" w:hAnsi="Times New Roman"/>
          <w:b w:val="false"/>
          <w:i w:val="false"/>
          <w:color w:val="000000"/>
          <w:sz w:val="22"/>
        </w:rPr>
        <w:t>A child may be placed in Iowa preliminary to adoption only when there has been a preplacement investigation by an authorized person or agency in Iowa, such investigation has been made available to the department, the investigation has been made within the past year, and the sending state intending to place the child has been notified that the home has been approved for an adoptive placement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0449D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