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441—109.7</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growth and development. </w:t>
      </w:r>
      <w:r>
        <w:rPr>
          <w:rFonts w:ascii="Times New Roman" w:hAnsi="Times New Roman"/>
          <w:b w:val="false"/>
          <w:i w:val="false"/>
          <w:color w:val="000000"/>
          <w:sz w:val="22"/>
        </w:rPr>
        <w:t xml:space="preserve">Professional development will  supplement the educational and experience requirements in rule </w:t>
      </w:r>
      <w:hyperlink r:id="rId4">
        <w:r>
          <w:rPr>
            <w:rStyle w:val="Hyperlink"/>
            <w:rFonts w:ascii="Times New Roman" w:hAnsi="Times New Roman"/>
            <w:b w:val="false"/>
            <w:i w:val="false"/>
            <w:color w:val="000000"/>
            <w:sz w:val="22"/>
          </w:rPr>
          <w:t>441—109.6</w:t>
        </w:r>
      </w:hyperlink>
      <w:r>
        <w:rPr>
          <w:rFonts w:ascii="Times New Roman" w:hAnsi="Times New Roman"/>
          <w:b w:val="false"/>
          <w:i w:val="false"/>
          <w:color w:val="000000"/>
          <w:sz w:val="22"/>
        </w:rPr>
        <w:t>(237A) and shall enhance the staff’s skill in working with the developmental and cultural characteristics of the children served.  The center director, on-site supervisor, and staff counted as part of the staff ratio must meet the following minimum staff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within the first three months of employment. </w:t>
      </w:r>
      <w:r>
        <w:rPr>
          <w:rFonts w:ascii="Times New Roman" w:hAnsi="Times New Roman"/>
          <w:b w:val="false"/>
          <w:i w:val="false"/>
          <w:color w:val="000000"/>
          <w:sz w:val="22"/>
        </w:rPr>
        <w:t>During their first three months of employment, all staff must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Essential child care pre-service or equivalent minimum health and safety training may be required if content has significant changes that warrant that the training be renewed.</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5">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6">
        <w:r>
          <w:rPr>
            <w:rStyle w:val="Hyperlink"/>
            <w:rFonts w:ascii="Times New Roman" w:hAnsi="Times New Roman"/>
            <w:b w:val="false"/>
            <w:i w:val="false"/>
            <w:color w:val="000000"/>
            <w:sz w:val="22"/>
          </w:rPr>
          <w:t>109.7(1)</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109.7(2)</w:t>
      </w:r>
      <w:r>
        <w:rPr>
          <w:rFonts w:ascii="Times New Roman" w:hAnsi="Times New Roman"/>
          <w:b w:val="false"/>
          <w:i w:val="false"/>
          <w:color w:val="000000"/>
          <w:sz w:val="22"/>
        </w:rPr>
        <w:t> </w:t>
      </w:r>
      <w:r>
        <w:rPr>
          <w:rFonts w:ascii="Times New Roman" w:hAnsi="Times New Roman"/>
          <w:b w:val="false"/>
          <w:i/>
          <w:color w:val="000000"/>
          <w:sz w:val="22"/>
        </w:rPr>
        <w:t xml:space="preserve">Center directors and all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their first year of employment, all center directors and all staff will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Ten contact hours of training from approved subject areas from the Council for Professional Recognition or approved content areas from the National Afterschool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received for CPR, first aid, mandatory reporting of child abuse, and universal precautions shall not count toward the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their first year of employment, all center directors and all staff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for Iowa’s training for the mandatory reporting of child abuse; infant, child and adult CPR; and infant, child and adult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must receive six contact hours of professional development annually from one or more of the subject areas under subparagraph </w:t>
      </w:r>
      <w:hyperlink r:id="rId7">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Center directors and on-site supervisors must receive eight contact hours of training annually from one or more approved subject areas under subparagraph </w:t>
      </w:r>
      <w:hyperlink r:id="rId8">
        <w:r>
          <w:rPr>
            <w:rStyle w:val="Hyperlink"/>
            <w:rFonts w:ascii="Times New Roman" w:hAnsi="Times New Roman"/>
            <w:b w:val="false"/>
            <w:i w:val="false"/>
            <w:color w:val="000000"/>
            <w:sz w:val="22"/>
          </w:rPr>
          <w:t>109.7(2)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109.7(3)</w:t>
      </w:r>
      <w:r>
        <w:rPr>
          <w:rFonts w:ascii="Times New Roman" w:hAnsi="Times New Roman"/>
          <w:b w:val="false"/>
          <w:i w:val="false"/>
          <w:color w:val="000000"/>
          <w:sz w:val="22"/>
        </w:rPr>
        <w:t> </w:t>
      </w:r>
      <w:r>
        <w:rPr>
          <w:rFonts w:ascii="Times New Roman" w:hAnsi="Times New Roman"/>
          <w:b w:val="false"/>
          <w:i/>
          <w:color w:val="000000"/>
          <w:sz w:val="22"/>
        </w:rPr>
        <w:t xml:space="preserve">Staff employed in centers that operate summer-only programs. </w:t>
      </w:r>
      <w:r>
        <w:rPr>
          <w:rFonts w:ascii="Times New Roman" w:hAnsi="Times New Roman"/>
          <w:b w:val="false"/>
          <w:i w:val="false"/>
          <w:color w:val="000000"/>
          <w:sz w:val="22"/>
        </w:rPr>
        <w:t>During their first three months of employment, all staff shall receive the following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Iowa’s training for mandatory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hour of training regarding universal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CPR.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in infant, child, and adult first aid. A valid certificate indicating the date of training and expiration date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Essential child care pre-service or equivalent minimum health and safety training approved by the department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abusive head trauma, and child maltreatment.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w:t>
      </w:r>
    </w:p>
    <w:p>
      <w:pPr>
        <w:spacing w:before="0" w:after="0"/>
        <w:ind w:left="120"/>
        <w:jc w:val="both"/>
      </w:pPr>
      <w:r>
        <w:rPr>
          <w:rFonts w:ascii="Times New Roman" w:hAnsi="Times New Roman"/>
          <w:b w:val="false"/>
          <w:i w:val="false"/>
          <w:color w:val="000000"/>
          <w:sz w:val="22"/>
        </w:rPr>
        <w:t xml:space="preserve">Child care staff employed in programs that only serve children over the age of three are exempt from taking health and safety trainings under subparagraphs </w:t>
      </w:r>
      <w:hyperlink r:id="rId9">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 xml:space="preserve">(2) and </w:t>
      </w:r>
      <w:hyperlink r:id="rId10">
        <w:r>
          <w:rPr>
            <w:rStyle w:val="Hyperlink"/>
            <w:rFonts w:ascii="Times New Roman" w:hAnsi="Times New Roman"/>
            <w:b w:val="false"/>
            <w:i w:val="false"/>
            <w:color w:val="000000"/>
            <w:sz w:val="22"/>
          </w:rPr>
          <w:t>109.7(3)</w:t>
        </w:r>
      </w:hyperlink>
      <w:r>
        <w:rPr>
          <w:rFonts w:ascii="Times New Roman" w:hAnsi="Times New Roman"/>
          <w:b w:val="false"/>
          <w:i/>
          <w:color w:val="000000"/>
          <w:sz w:val="22"/>
        </w:rPr>
        <w:t>“e”</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109.7(4)</w:t>
      </w:r>
      <w:r>
        <w:rPr>
          <w:rFonts w:ascii="Times New Roman" w:hAnsi="Times New Roman"/>
          <w:b w:val="false"/>
          <w:i w:val="false"/>
          <w:color w:val="000000"/>
          <w:sz w:val="22"/>
        </w:rPr>
        <w:t> </w:t>
      </w:r>
      <w:r>
        <w:rPr>
          <w:rFonts w:ascii="Times New Roman" w:hAnsi="Times New Roman"/>
          <w:b w:val="false"/>
          <w:i/>
          <w:color w:val="000000"/>
          <w:sz w:val="22"/>
        </w:rPr>
        <w:t xml:space="preserve">Substitution. </w:t>
      </w:r>
      <w:r>
        <w:rPr>
          <w:rFonts w:ascii="Times New Roman" w:hAnsi="Times New Roman"/>
          <w:b w:val="false"/>
          <w:i w:val="false"/>
          <w:color w:val="000000"/>
          <w:sz w:val="22"/>
        </w:rPr>
        <w:t>A provider who submits documentation from a child care resource and referral agency that the provider has completed the Iowa Program for Infant/Toddler Care (IA PITC) (August 1, 2024), or Early Childhood-Positive Behavior Interventions and Supports (EC-PBIS) training series (August 1, 2024) may use those hours to fulfill a maximum of two years’ professional development requirements, not including preservice, first-aid, CPR and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109.7(5)</w:t>
      </w:r>
      <w:r>
        <w:rPr>
          <w:rFonts w:ascii="Times New Roman" w:hAnsi="Times New Roman"/>
          <w:b w:val="false"/>
          <w:i w:val="false"/>
          <w:color w:val="000000"/>
          <w:sz w:val="22"/>
        </w:rPr>
        <w:t> </w:t>
      </w:r>
      <w:r>
        <w:rPr>
          <w:rFonts w:ascii="Times New Roman" w:hAnsi="Times New Roman"/>
          <w:b w:val="false"/>
          <w:i/>
          <w:color w:val="000000"/>
          <w:sz w:val="22"/>
        </w:rPr>
        <w:t xml:space="preserve">Approved 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contact hours can be coaching, education, or training provided by a department-approved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Coaching contact hours may only be used to meet up to half of an individual’s annual professional development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professional development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Professional development conducted with staff during the hours of operation of the facility, during staff lunch hours, or while children are resting must not diminish the required staff ratio coverage. Staff must not be actively engaged in care and supervision and simultaneously participate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professional development  organization not approved by the department may submit for review to the department a request for child care training approval. All approvals unless otherwise specified shall be valid for five years. The department will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Department-approved entities must provide participants a professional development certificate for approved professional development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109.7(6)</w:t>
      </w:r>
      <w:r>
        <w:rPr>
          <w:rFonts w:ascii="Times New Roman" w:hAnsi="Times New Roman"/>
          <w:b w:val="false"/>
          <w:i w:val="false"/>
          <w:color w:val="000000"/>
          <w:sz w:val="22"/>
        </w:rPr>
        <w:t> </w:t>
      </w:r>
      <w:r>
        <w:rPr>
          <w:rFonts w:ascii="Times New Roman" w:hAnsi="Times New Roman"/>
          <w:b w:val="false"/>
          <w:i/>
          <w:color w:val="000000"/>
          <w:sz w:val="22"/>
        </w:rPr>
        <w:t xml:space="preserve">Professional development for supervisors and designees. </w:t>
      </w:r>
      <w:r>
        <w:rPr>
          <w:rFonts w:ascii="Times New Roman" w:hAnsi="Times New Roman"/>
          <w:b w:val="false"/>
          <w:i w:val="false"/>
          <w:color w:val="000000"/>
          <w:sz w:val="22"/>
        </w:rPr>
        <w:t xml:space="preserve">The director, on-site supervisor, and any person designated as a lead in the absence of supervisory staff must have completed all preservice/orientation training outlined in subrule </w:t>
      </w:r>
      <w:hyperlink r:id="rId11">
        <w:r>
          <w:rPr>
            <w:rStyle w:val="Hyperlink"/>
            <w:rFonts w:ascii="Times New Roman" w:hAnsi="Times New Roman"/>
            <w:b w:val="false"/>
            <w:i w:val="false"/>
            <w:color w:val="000000"/>
            <w:sz w:val="22"/>
          </w:rPr>
          <w:t>109.7(1)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9021C</w:t>
      </w:r>
      <w:r>
        <w:rPr>
          <w:rFonts w:ascii="Times New Roman" w:hAnsi="Times New Roman"/>
          <w:b w:val="false"/>
          <w:i w:val="false"/>
          <w:color w:val="000000"/>
          <w:sz w:val="16"/>
        </w:rPr>
        <w:t>, IAB 3/19/25,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0448D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09.6.pdf" Type="http://schemas.openxmlformats.org/officeDocument/2006/relationships/hyperlink" Id="rId4"/>
    <Relationship TargetMode="External" Target="https://www.legis.iowa.gov/docs/iac/rule/441.109.7.pdf" Type="http://schemas.openxmlformats.org/officeDocument/2006/relationships/hyperlink" Id="rId5"/>
    <Relationship TargetMode="External" Target="https://www.legis.iowa.gov/docs/iac/rule/441.109.7.pdf" Type="http://schemas.openxmlformats.org/officeDocument/2006/relationships/hyperlink" Id="rId6"/>
    <Relationship TargetMode="External" Target="https://www.legis.iowa.gov/docs/iac/rule/441.109.7.pdf" Type="http://schemas.openxmlformats.org/officeDocument/2006/relationships/hyperlink" Id="rId7"/>
    <Relationship TargetMode="External" Target="https://www.legis.iowa.gov/docs/iac/rule/441.109.7.pdf" Type="http://schemas.openxmlformats.org/officeDocument/2006/relationships/hyperlink" Id="rId8"/>
    <Relationship TargetMode="External" Target="https://www.legis.iowa.gov/docs/iac/rule/441.109.7.pdf" Type="http://schemas.openxmlformats.org/officeDocument/2006/relationships/hyperlink" Id="rId9"/>
    <Relationship TargetMode="External" Target="https://www.legis.iowa.gov/docs/iac/rule/441.109.7.pdf" Type="http://schemas.openxmlformats.org/officeDocument/2006/relationships/hyperlink" Id="rId10"/>
    <Relationship TargetMode="External" Target="https://www.legis.iowa.gov/docs/iac/rule/441.109.7.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