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371—1.7</w:t>
      </w:r>
      <w:r>
        <w:rPr>
          <w:rFonts w:ascii="Times New Roman" w:hAnsi="Times New Roman"/>
          <w:b/>
          <w:i w:val="false"/>
          <w:color w:val="000000"/>
          <w:sz w:val="22"/>
        </w:rPr>
        <w:t xml:space="preserve">(173) </w:t>
      </w:r>
      <w:r>
        <w:rPr>
          <w:rFonts w:ascii="Times New Roman" w:hAnsi="Times New Roman"/>
          <w:b/>
          <w:i w:val="false"/>
          <w:color w:val="000000"/>
          <w:sz w:val="22"/>
        </w:rPr>
        <w:t xml:space="preserve">Liability insurance. </w:t>
      </w:r>
      <w:r>
        <w:rPr>
          <w:rFonts w:ascii="Times New Roman" w:hAnsi="Times New Roman"/>
          <w:b w:val="false"/>
          <w:i w:val="false"/>
          <w:color w:val="000000"/>
          <w:sz w:val="22"/>
        </w:rPr>
        <w:t>All concessionaires, commercial exhibitors and competitive events exhibitors shall carry liability insurance and shall name the state of Iowa, Iowa state fair authority, their officers, employees and agents as additional insured and shall furnish a certificate of such insurance to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