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371—1.3</w:t>
      </w:r>
      <w:r>
        <w:rPr>
          <w:rFonts w:ascii="Times New Roman" w:hAnsi="Times New Roman"/>
          <w:b/>
          <w:i w:val="false"/>
          <w:color w:val="000000"/>
          <w:sz w:val="22"/>
        </w:rPr>
        <w:t xml:space="preserve">(173) </w:t>
      </w:r>
      <w:r>
        <w:rPr>
          <w:rFonts w:ascii="Times New Roman" w:hAnsi="Times New Roman"/>
          <w:b/>
          <w:i w:val="false"/>
          <w:color w:val="000000"/>
          <w:sz w:val="22"/>
        </w:rPr>
        <w:t xml:space="preserve">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Explanation of rules. </w:t>
      </w:r>
      <w:r>
        <w:rPr>
          <w:rFonts w:ascii="Times New Roman" w:hAnsi="Times New Roman"/>
          <w:b w:val="false"/>
          <w:i w:val="false"/>
          <w:color w:val="000000"/>
          <w:sz w:val="22"/>
        </w:rPr>
        <w:t>The administrative rules of the Iowa state fair board are those of general applicability to the public and do not contain specific rules governing competitions, competitors, exhibitors, entertainers or others involved in the programming of the Iowa state fair. Other than general rules for competition, all specific rules for competition and other forms of fair programming will be adopted yearly at the regular April meeting by the Iowa state fair board, and published and made available in the Iowa state fair premium lists by June 1. Proposed rules may be obtained from the fair board office after April 1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Comment on specific rules. </w:t>
      </w:r>
      <w:r>
        <w:rPr>
          <w:rFonts w:ascii="Times New Roman" w:hAnsi="Times New Roman"/>
          <w:b w:val="false"/>
          <w:i w:val="false"/>
          <w:color w:val="000000"/>
          <w:sz w:val="22"/>
        </w:rPr>
        <w:t>Any person wishing to comment on the specific rules of competition and fair programming may do so in writing by submitting comments to the offices of the board for review at its regular April meeting. The board will take all comments received under advisement.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Conflict of rules. </w:t>
      </w:r>
      <w:r>
        <w:rPr>
          <w:rFonts w:ascii="Times New Roman" w:hAnsi="Times New Roman"/>
          <w:b w:val="false"/>
          <w:i w:val="false"/>
          <w:color w:val="000000"/>
          <w:sz w:val="22"/>
        </w:rPr>
        <w:t>In the event of conflict between general and specific rules, the latter will take precedence.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Rule application. </w:t>
      </w:r>
      <w:r>
        <w:rPr>
          <w:rFonts w:ascii="Times New Roman" w:hAnsi="Times New Roman"/>
          <w:b w:val="false"/>
          <w:i w:val="false"/>
          <w:color w:val="000000"/>
          <w:sz w:val="22"/>
        </w:rPr>
        <w:t>The administrative rules of the fair board will apply only to the yearly fair-time operations except where year-round applicability is so stated.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color w:val="000000"/>
          <w:sz w:val="22"/>
        </w:rPr>
        <w:t xml:space="preserve">Appeal procedures. </w:t>
      </w:r>
      <w:r>
        <w:rPr>
          <w:rFonts w:ascii="Times New Roman" w:hAnsi="Times New Roman"/>
          <w:b w:val="false"/>
          <w:i w:val="false"/>
          <w:color w:val="000000"/>
          <w:sz w:val="22"/>
        </w:rPr>
        <w:t xml:space="preserve">All protests, challenges to disciplinary action or complaints shall be heard initially by the Iowa state fair board’s competition committee according to procedures set out in the fair’s annual premium book. An exhibitor may appeal the decision of the competition committee to the fair board. An exhibitor appealing a disqualification or recommended disciplinary action may request an evidentiary hearing conducted pursuant to Iowa Code chapter </w:t>
      </w:r>
      <w:hyperlink r:id="rId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If the exhibitor requests that the appeal be heard as an evidentiary hearing, the fair board may retain an administrative law judge from the department of inspections and appeals to conduct the evidentiary hearing and to render a proposed decision. The fair board may affirm, reverse or modify the proposed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