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281—36.1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“Associate member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nonaccredited nonpublic school that has been granted associate member status by any corporation, association, or organization registered with the department pursuant to Iowa Code section </w:t>
      </w:r>
      <w:hyperlink r:id="rId4">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upon approval by the department based upon proof of compliance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279.19B</w:t>
        </w:r>
      </w:hyperlink>
      <w:r>
        <w:rPr>
          <w:rFonts w:ascii="Times New Roman" w:hAnsi="Times New Roman"/>
          <w:b w:val="false"/>
          <w:i w:val="false"/>
          <w:color w:val="000000"/>
          <w:sz w:val="22"/>
        </w:rPr>
        <w:t>, and rules adopted by the department related to the qualifications of the affected teaching staff,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 eligibility rules of this chapter.</w:t>
      </w:r>
    </w:p>
    <w:p>
      <w:pPr>
        <w:spacing w:before="0" w:after="0"/>
        <w:ind w:left="120"/>
        <w:jc w:val="both"/>
      </w:pPr>
      <w:r>
        <w:rPr>
          <w:rFonts w:ascii="Times New Roman" w:hAnsi="Times New Roman"/>
          <w:b w:val="false"/>
          <w:i w:val="false"/>
          <w:color w:val="000000"/>
          <w:sz w:val="22"/>
        </w:rPr>
        <w:t>Associate membership is subject to the requirements, dues, or other obligations established by the organization for which associate membership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coaching endorsement or authorization as required by Iowa law, employed by a school district under the provisions of an extracurricular athletic contract or employed by a nonpublic school in a position responsible for an extracurricular athletic activity. “Coach” also includes an individual who instructs, diagnoses, prescribes, evaluates, assists, or directs student learning of an interscholastic athletic endeavor on a voluntary basis on behalf of a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w:t>
      </w:r>
      <w:r>
        <w:rPr>
          <w:rFonts w:ascii="Times New Roman" w:hAnsi="Times New Roman"/>
          <w:b w:val="false"/>
          <w:i w:val="false"/>
          <w:color w:val="000000"/>
          <w:sz w:val="22"/>
        </w:rPr>
        <w:t> </w:t>
      </w:r>
      <w:r>
        <w:rPr>
          <w:rFonts w:ascii="Times New Roman" w:hAnsi="Times New Roman"/>
          <w:b w:val="false"/>
          <w:i w:val="false"/>
          <w:color w:val="000000"/>
          <w:sz w:val="22"/>
        </w:rPr>
        <w:t>means participating in an interscholastic contest or competition and includes dressing in full team uniform for the interscholastic contest or competition as well as participating in pregame warm-up exercises with team members. “Compete” does not include any managerial, recordkeeping, or other noncompetitor functions performed by a student on behalf of a member or associate member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“Dropout”</w:t>
      </w:r>
      <w:r>
        <w:rPr>
          <w:rFonts w:ascii="Times New Roman" w:hAnsi="Times New Roman"/>
          <w:b w:val="false"/>
          <w:i w:val="false"/>
          <w:color w:val="000000"/>
          <w:sz w:val="22"/>
        </w:rPr>
        <w:t> </w:t>
      </w:r>
      <w:r>
        <w:rPr>
          <w:rFonts w:ascii="Times New Roman" w:hAnsi="Times New Roman"/>
          <w:b w:val="false"/>
          <w:i w:val="false"/>
          <w:color w:val="000000"/>
          <w:sz w:val="22"/>
        </w:rPr>
        <w:t>means a student who quit school because of extenuating circumstances over which the student had no control or who voluntarily withdrew from school. This does not include a student who has been expelled or one who was doing failing work when the student voluntarily dropped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board”</w:t>
      </w:r>
      <w:r>
        <w:rPr>
          <w:rFonts w:ascii="Times New Roman" w:hAnsi="Times New Roman"/>
          <w:b w:val="false"/>
          <w:i w:val="false"/>
          <w:color w:val="000000"/>
          <w:sz w:val="22"/>
        </w:rPr>
        <w:t> </w:t>
      </w:r>
      <w:r>
        <w:rPr>
          <w:rFonts w:ascii="Times New Roman" w:hAnsi="Times New Roman"/>
          <w:b w:val="false"/>
          <w:i w:val="false"/>
          <w:color w:val="000000"/>
          <w:sz w:val="22"/>
        </w:rPr>
        <w:t>means the governing body authorized under a constitution or bylaws to establish policy for an organization registered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officer”</w:t>
      </w:r>
      <w:r>
        <w:rPr>
          <w:rFonts w:ascii="Times New Roman" w:hAnsi="Times New Roman"/>
          <w:b w:val="false"/>
          <w:i w:val="false"/>
          <w:color w:val="000000"/>
          <w:sz w:val="22"/>
        </w:rPr>
        <w:t> </w:t>
      </w:r>
      <w:r>
        <w:rPr>
          <w:rFonts w:ascii="Times New Roman" w:hAnsi="Times New Roman"/>
          <w:b w:val="false"/>
          <w:i w:val="false"/>
          <w:color w:val="000000"/>
          <w:sz w:val="22"/>
        </w:rPr>
        <w:t>means the executive director or secretary of each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means a public school or accredited nonpublic school that has been granted such status by any corporation, association, or organization registered with the department pursuant to Iowa Code section </w:t>
      </w:r>
      <w:hyperlink r:id="rId6">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the natural or adoptive parent having actual bona fide custody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 person under 20 years of age enrolled in grades 9 through 12. For purposes of these rules, ninth grade begins with the summer immediately following eighth grade. The rules contained herein apply uniformly to all students. “Student” also includes students in eighth grade who are allowed to participate in an interscholastic athletic contest or competition pursuant to a local policy adopted by the board of directors of a school district, the authorities in charge of a nonpublic school, or the governing board of a charter school. An eighth-grade student who participates pursuant to this policy shall not also participate in the same sports season for an eighth-grade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w:t>
      </w:r>
      <w:r>
        <w:rPr>
          <w:rFonts w:ascii="Times New Roman" w:hAnsi="Times New Roman"/>
          <w:b w:val="false"/>
          <w:i w:val="false"/>
          <w:color w:val="000000"/>
          <w:sz w:val="22"/>
        </w:rPr>
        <w:t> </w:t>
      </w:r>
      <w:r>
        <w:rPr>
          <w:rFonts w:ascii="Times New Roman" w:hAnsi="Times New Roman"/>
          <w:b w:val="false"/>
          <w:i w:val="false"/>
          <w:color w:val="000000"/>
          <w:sz w:val="22"/>
        </w:rPr>
        <w:t>means a superintendent of a local school or a duly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“Varsity”</w:t>
      </w:r>
      <w:r>
        <w:rPr>
          <w:rFonts w:ascii="Times New Roman" w:hAnsi="Times New Roman"/>
          <w:b w:val="false"/>
          <w:i w:val="false"/>
          <w:color w:val="000000"/>
          <w:sz w:val="22"/>
        </w:rPr>
        <w:t> </w:t>
      </w:r>
      <w:r>
        <w:rPr>
          <w:rFonts w:ascii="Times New Roman" w:hAnsi="Times New Roman"/>
          <w:b w:val="false"/>
          <w:i w:val="false"/>
          <w:color w:val="000000"/>
          <w:sz w:val="22"/>
        </w:rPr>
        <w:t>means the highest level of competition offered by one school or school district against the highest level of competition offered by an opposing school or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0.13.pdf" Type="http://schemas.openxmlformats.org/officeDocument/2006/relationships/hyperlink" Id="rId4"/>
    <Relationship TargetMode="External" Target="https://www.legis.iowa.gov/docs/ico/chapter/279.19B.pdf" Type="http://schemas.openxmlformats.org/officeDocument/2006/relationships/hyperlink" Id="rId5"/>
    <Relationship TargetMode="External" Target="https://www.legis.iowa.gov/docs/ico/chapter/280.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