
<file path=[Content_Types].xml><?xml version="1.0" encoding="utf-8"?>
<Types xmlns="http://schemas.openxmlformats.org/package/2006/content-types">
  <Default Extension="rels" ContentType="application/vnd.openxmlformats-package.relationships+xml"/>
  <Override ContentType="application/vnd.openxmlformats-officedocument.extended-properties+xml" PartName="/docProps/app.xml"/>
  <Override ContentType="application/vnd.openxmlformats-package.core-properties+xml" PartName="/docProps/core.xml"/>
  <Override ContentType="application/vnd.openxmlformats-officedocument.wordprocessingml.document.main+xml" PartName="/word/document.xml"/>
  <Override ContentType="application/vnd.openxmlformats-officedocument.wordprocessingml.footer+xml" PartName="/word/footer.xml"/>
  <Override ContentType="application/vnd.openxmlformats-officedocument.wordprocessingml.numbering+xml" PartName="/word/numbering.xml"/>
  <Override ContentType="application/vnd.openxmlformats-officedocument.wordprocessingml.settings+xml" PartName="/word/settings.xml"/>
  <Override ContentType="application/vnd.openxmlformats-officedocument.wordprocessingml.styles+xml" PartName="/word/styles.xml"/>
</Types>
</file>

<file path=_rels/.rels><?xml version="1.0" encoding="UTF-8" standalone="yes"?>
<Relationships xmlns="http://schemas.openxmlformats.org/package/2006/relationships">
    <Relationship Target="word/document.xml" Type="http://schemas.openxmlformats.org/officeDocument/2006/relationships/officeDocument" Id="rId1"/>
    <Relationship Target="docProps/core.xml" Type="http://schemas.openxmlformats.org/package/2006/relationships/metadata/core-properties" Id="rId2"/>
    <Relationship Target="docProps/app.xml" Type="http://schemas.openxmlformats.org/officeDocument/2006/relationships/extended-properties" Id="rId3"/>
</Relationships>

</file>

<file path=word/document.xml><?xml version="1.0" encoding="utf-8"?>
<w:document xmlns:w="http://schemas.openxmlformats.org/wordprocessingml/2006/main" xmlns:w15="http://schemas.microsoft.com/office/word/2012/wordml" xmlns:w14="http://schemas.microsoft.com/office/word/2010/wordml" xmlns:r="http://schemas.openxmlformats.org/officeDocument/2006/relationships" xmlns:m="http://schemas.openxmlformats.org/officeDocument/2006/math" xmlns:wp="http://schemas.openxmlformats.org/drawingml/2006/wordprocessingDrawing" xmlns:a="http://schemas.openxmlformats.org/drawingml/2006/main" xmlns:wp14="http://schemas.microsoft.com/office/word/2010/wordprocessingDrawing" xmlns:mc="http://schemas.openxmlformats.org/markup-compatibility/2006" xmlns:a14="http://schemas.microsoft.com/office/drawing/2010/main" xmlns:sl="http://schemas.openxmlformats.org/schemaLibrary/2006/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w:body>
    <!-- Created by docx4j 11.5.9 (Apache licensed) using REFERENCE JAXB in Eclipse Adoptium Java 21.0.9 on Windows Server 2022 -->
    <w:p>
      <w:pPr>
        <w:spacing w:before="0" w:after="0"/>
        <w:ind w:left="120"/>
        <w:jc w:val="both"/>
      </w:pPr>
      <w:r>
        <w:rPr>
          <w:rFonts w:ascii="Times New Roman" w:hAnsi="Times New Roman"/>
          <w:b/>
          <w:i w:val="false"/>
          <w:color w:val="000000"/>
          <w:sz w:val="22"/>
        </w:rPr>
        <w:t>199—20.21</w:t>
      </w:r>
      <w:r>
        <w:rPr>
          <w:rFonts w:ascii="Times New Roman" w:hAnsi="Times New Roman"/>
          <w:b/>
          <w:i w:val="false"/>
          <w:color w:val="000000"/>
          <w:sz w:val="22"/>
        </w:rPr>
        <w:t xml:space="preserve">(476) </w:t>
      </w:r>
      <w:r>
        <w:rPr>
          <w:rFonts w:ascii="Times New Roman" w:hAnsi="Times New Roman"/>
          <w:b/>
          <w:i w:val="false"/>
          <w:color w:val="000000"/>
          <w:sz w:val="22"/>
        </w:rPr>
        <w:t xml:space="preserve">Customer participation in wholesale markets through demand response activities. </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20.21(1)</w:t>
      </w:r>
      <w:r>
        <w:rPr>
          <w:rFonts w:ascii="Times New Roman" w:hAnsi="Times New Roman"/>
          <w:b w:val="false"/>
          <w:i w:val="false"/>
          <w:color w:val="000000"/>
          <w:sz w:val="22"/>
        </w:rPr>
        <w:t> </w:t>
      </w:r>
      <w:r>
        <w:rPr>
          <w:rFonts w:ascii="Times New Roman" w:hAnsi="Times New Roman"/>
          <w:b w:val="false"/>
          <w:i/>
          <w:color w:val="000000"/>
          <w:sz w:val="22"/>
        </w:rPr>
        <w:t xml:space="preserve">Temporary participation limit. </w:t>
      </w:r>
      <w:r>
        <w:rPr>
          <w:rFonts w:ascii="Times New Roman" w:hAnsi="Times New Roman"/>
          <w:b w:val="false"/>
          <w:i w:val="false"/>
          <w:color w:val="000000"/>
          <w:sz w:val="22"/>
        </w:rPr>
        <w:t>Retail electricity customers of a rate-regulated electric utility with an aggregate load of 100 kilowatts or more with that utility may participate individually or through an ARC in wholesale electricity demand response programs operating in conjunction with wholesale electricity markets.</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20.21(2)</w:t>
      </w:r>
      <w:r>
        <w:rPr>
          <w:rFonts w:ascii="Times New Roman" w:hAnsi="Times New Roman"/>
          <w:b w:val="false"/>
          <w:i w:val="false"/>
          <w:color w:val="000000"/>
          <w:sz w:val="22"/>
        </w:rPr>
        <w:t> </w:t>
      </w:r>
      <w:r>
        <w:rPr>
          <w:rFonts w:ascii="Times New Roman" w:hAnsi="Times New Roman"/>
          <w:b w:val="false"/>
          <w:i/>
          <w:color w:val="000000"/>
          <w:sz w:val="22"/>
        </w:rPr>
        <w:t xml:space="preserve">Date certain for full participation. </w:t>
      </w:r>
      <w:r>
        <w:rPr>
          <w:rFonts w:ascii="Times New Roman" w:hAnsi="Times New Roman"/>
          <w:b w:val="false"/>
          <w:i w:val="false"/>
          <w:color w:val="000000"/>
          <w:sz w:val="22"/>
        </w:rPr>
        <w:t>Beginning on January 1, 2028, retail electricity customers of rate-regulated electric utilities, regardless of aggregate load size, may participate individually or through an ARC in wholesale electricity demand response programs operating in conjunction with wholesale electricity markets.</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20.21(3)</w:t>
      </w:r>
      <w:r>
        <w:rPr>
          <w:rFonts w:ascii="Times New Roman" w:hAnsi="Times New Roman"/>
          <w:b w:val="false"/>
          <w:i w:val="false"/>
          <w:color w:val="000000"/>
          <w:sz w:val="22"/>
        </w:rPr>
        <w:t> </w:t>
      </w:r>
      <w:r>
        <w:rPr>
          <w:rFonts w:ascii="Times New Roman" w:hAnsi="Times New Roman"/>
          <w:b w:val="false"/>
          <w:i/>
          <w:color w:val="000000"/>
          <w:sz w:val="22"/>
        </w:rPr>
        <w:t xml:space="preserve">Data sharing tariff. </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Within 180 days of August 26, 2026, each rate-regulated electric utility shall file a proposed tariff with the commission specifying standards for the sharing of customer data in order to effectuate customer participation in wholesale electricity demand response programs operating in conjunction with wholesale electricity markets.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In furtherance of effectuating customer participation in wholesale electricity demand response programs operating in conjunction with wholesale electricity markets, the data sharing tariff shall, at a minimum, provide for the following:</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(1)</w:t>
      </w:r>
      <w:r>
        <w:rPr>
          <w:rFonts w:ascii="Times New Roman" w:hAnsi="Times New Roman"/>
          <w:b w:val="false"/>
          <w:i w:val="false"/>
          <w:color w:val="000000"/>
          <w:sz w:val="22"/>
        </w:rPr>
        <w:t>  </w:t>
      </w:r>
      <w:r>
        <w:rPr>
          <w:rFonts w:ascii="Times New Roman" w:hAnsi="Times New Roman"/>
          <w:b w:val="false"/>
          <w:i w:val="false"/>
          <w:color w:val="000000"/>
          <w:sz w:val="22"/>
        </w:rPr>
        <w:t>Adoption of a nationally recognized data exchange protocol to streamline data portability.</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(2)</w:t>
      </w:r>
      <w:r>
        <w:rPr>
          <w:rFonts w:ascii="Times New Roman" w:hAnsi="Times New Roman"/>
          <w:b w:val="false"/>
          <w:i w:val="false"/>
          <w:color w:val="000000"/>
          <w:sz w:val="22"/>
        </w:rPr>
        <w:t>  </w:t>
      </w:r>
      <w:r>
        <w:rPr>
          <w:rFonts w:ascii="Times New Roman" w:hAnsi="Times New Roman"/>
          <w:b w:val="false"/>
          <w:i w:val="false"/>
          <w:color w:val="000000"/>
          <w:sz w:val="22"/>
        </w:rPr>
        <w:t>Establishment of a process by which customers securely give permission for their data to be shared with an ARC.</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20.21(4)</w:t>
      </w:r>
      <w:r>
        <w:rPr>
          <w:rFonts w:ascii="Times New Roman" w:hAnsi="Times New Roman"/>
          <w:b w:val="false"/>
          <w:i w:val="false"/>
          <w:color w:val="000000"/>
          <w:sz w:val="22"/>
        </w:rPr>
        <w:t> </w:t>
      </w:r>
      <w:r>
        <w:rPr>
          <w:rFonts w:ascii="Times New Roman" w:hAnsi="Times New Roman"/>
          <w:b w:val="false"/>
          <w:i/>
          <w:color w:val="000000"/>
          <w:sz w:val="22"/>
        </w:rPr>
        <w:t xml:space="preserve">Limitation on dual participation. </w:t>
      </w:r>
      <w:r>
        <w:rPr>
          <w:rFonts w:ascii="Times New Roman" w:hAnsi="Times New Roman"/>
          <w:b w:val="false"/>
          <w:i w:val="false"/>
          <w:color w:val="000000"/>
          <w:sz w:val="22"/>
        </w:rPr>
        <w:t xml:space="preserve">When necessary to avoid improper double-counting, a rate-regulated utility may limit participation in a utility’s demand response programs to customers not participating individually or through an ARC in wholesale electricity demand response programs. Upon customer complaint filed pursuant to </w:t>
      </w:r>
      <w:hyperlink r:id="rId4">
        <w:r>
          <w:rPr>
            <w:rStyle w:val="Hyperlink"/>
            <w:rFonts w:ascii="Times New Roman" w:hAnsi="Times New Roman"/>
            <w:b w:val="false"/>
            <w:i w:val="false"/>
            <w:color w:val="000000"/>
            <w:sz w:val="22"/>
          </w:rPr>
          <w:t>199—Chapter 6</w:t>
        </w:r>
      </w:hyperlink>
      <w:r>
        <w:rPr>
          <w:rFonts w:ascii="Times New Roman" w:hAnsi="Times New Roman"/>
          <w:b w:val="false"/>
          <w:i w:val="false"/>
          <w:color w:val="000000"/>
          <w:sz w:val="22"/>
        </w:rPr>
        <w:t>, the utility shall have the burden of proving the necessity of the participation limitation.</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20.21(5)</w:t>
      </w:r>
      <w:r>
        <w:rPr>
          <w:rFonts w:ascii="Times New Roman" w:hAnsi="Times New Roman"/>
          <w:b w:val="false"/>
          <w:i w:val="false"/>
          <w:color w:val="000000"/>
          <w:sz w:val="22"/>
        </w:rPr>
        <w:t> </w:t>
      </w:r>
      <w:r>
        <w:rPr>
          <w:rFonts w:ascii="Times New Roman" w:hAnsi="Times New Roman"/>
          <w:b w:val="false"/>
          <w:i/>
          <w:color w:val="000000"/>
          <w:sz w:val="22"/>
        </w:rPr>
        <w:t xml:space="preserve">Costs tracked. </w:t>
      </w:r>
      <w:r>
        <w:rPr>
          <w:rFonts w:ascii="Times New Roman" w:hAnsi="Times New Roman"/>
          <w:b w:val="false"/>
          <w:i w:val="false"/>
          <w:color w:val="000000"/>
          <w:sz w:val="22"/>
        </w:rPr>
        <w:t>The rate-regulated utility’s costs associated with facilitating customer participation individually or through an ARC in wholesale electricity demand response programs operating in conjunction with wholesale electricity markets shall be tracked separately.</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20.21(6)</w:t>
      </w:r>
      <w:r>
        <w:rPr>
          <w:rFonts w:ascii="Times New Roman" w:hAnsi="Times New Roman"/>
          <w:b w:val="false"/>
          <w:i w:val="false"/>
          <w:color w:val="000000"/>
          <w:sz w:val="22"/>
        </w:rPr>
        <w:t> </w:t>
      </w:r>
      <w:r>
        <w:rPr>
          <w:rFonts w:ascii="Times New Roman" w:hAnsi="Times New Roman"/>
          <w:b w:val="false"/>
          <w:i/>
          <w:color w:val="000000"/>
          <w:sz w:val="22"/>
        </w:rPr>
        <w:t xml:space="preserve">Limitation of utility liability. </w:t>
      </w:r>
      <w:r>
        <w:rPr>
          <w:rFonts w:ascii="Times New Roman" w:hAnsi="Times New Roman"/>
          <w:b w:val="false"/>
          <w:i w:val="false"/>
          <w:color w:val="000000"/>
          <w:sz w:val="22"/>
        </w:rPr>
        <w:t>A rate-regulated utility shall not be held liable, in any manner, for the actions of an ARC or a customer participating individually in demand response programs operating in conjunction with wholesale electricity markets.</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20.21(7)</w:t>
      </w:r>
      <w:r>
        <w:rPr>
          <w:rFonts w:ascii="Times New Roman" w:hAnsi="Times New Roman"/>
          <w:b w:val="false"/>
          <w:i w:val="false"/>
          <w:color w:val="000000"/>
          <w:sz w:val="22"/>
        </w:rPr>
        <w:t> </w:t>
      </w:r>
      <w:r>
        <w:rPr>
          <w:rFonts w:ascii="Times New Roman" w:hAnsi="Times New Roman"/>
          <w:b w:val="false"/>
          <w:i/>
          <w:color w:val="000000"/>
          <w:sz w:val="22"/>
        </w:rPr>
        <w:t xml:space="preserve">Recovery of costs incurred due to fraud, mismanagement, or other misconduct. </w:t>
      </w:r>
      <w:r>
        <w:rPr>
          <w:rFonts w:ascii="Times New Roman" w:hAnsi="Times New Roman"/>
          <w:b w:val="false"/>
          <w:i w:val="false"/>
          <w:color w:val="000000"/>
          <w:sz w:val="22"/>
        </w:rPr>
        <w:t>Any reimbursement of costs incurred by customers, local balancing authorities, or other utilities due to fraudulent activities; improper excess market payments; or other unjustified expenses arising from participation of an ARC or individual customer in demand response programs operating in conjunction with wholesale electricity markets shall be sought from the operator of the wholesale electricity market. Complaints or concerns relating to such costs should be directed to the market operator and not to any electric utility serving such participating customers.</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0455D</w:t>
      </w:r>
      <w:r>
        <w:rPr>
          <w:rFonts w:ascii="Times New Roman" w:hAnsi="Times New Roman"/>
          <w:b w:val="false"/>
          <w:i w:val="false"/>
          <w:color w:val="000000"/>
          <w:sz w:val="16"/>
        </w:rPr>
        <w:t>, IAB 7/22/26, effective 8/26/26</w:t>
      </w:r>
      <w:r>
        <w:rPr>
          <w:rFonts w:ascii="Times New Roman" w:hAnsi="Times New Roman"/>
          <w:b w:val="false"/>
          <w:i w:val="false"/>
          <w:color w:val="000000"/>
          <w:sz w:val="16"/>
        </w:rPr>
        <w:t>]</w:t>
      </w:r>
    </w:p>
    <w:sectPr>
      <w:footerReference r:id="rId5"/>
      <w:pgSz w:w="11907" w:h="16839" w:code="9"/>
      <w:pgMar w:top="1440" w:right="1440" w:bottom="1440" w:left="1440"/>
    </w:sectPr>
  </w:body>
</w:document>
</file>

<file path=word/footer.xml><?xml version="1.0" encoding="utf-8"?>
<w:ftr xmlns:w="http://schemas.openxmlformats.org/wordprocessingml/2006/main" xmlns:w15="http://schemas.microsoft.com/office/word/2012/wordml" xmlns:w14="http://schemas.microsoft.com/office/word/2010/wordml" xmlns:r="http://schemas.openxmlformats.org/officeDocument/2006/relationships" xmlns:m="http://schemas.openxmlformats.org/officeDocument/2006/math" xmlns:wp="http://schemas.openxmlformats.org/drawingml/2006/wordprocessingDrawing" xmlns:a="http://schemas.openxmlformats.org/drawingml/2006/main" xmlns:wp14="http://schemas.microsoft.com/office/word/2010/wordprocessingDrawing" xmlns:mc="http://schemas.openxmlformats.org/markup-compatibility/2006" xmlns:a14="http://schemas.microsoft.com/office/drawing/2010/main" xmlns:sl="http://schemas.openxmlformats.org/schemaLibrary/2006/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w:tbl>
    <w:tblPr>
      <w:tblW w:w="0" w:type="auto"/>
      <w:tblCellSpacing w:w="20" w:type="dxa"/>
      <w:tblBorders>
        <w:top w:val="none"/>
        <w:left w:val="none"/>
        <w:bottom w:val="none"/>
        <w:right w:val="none"/>
        <w:insideH w:val="none"/>
        <w:insideV w:val="none"/>
      </w:tblBorders>
    </w:tblPr>
    <w:tblGrid>
      <w:gridCol w:w="672"/>
      <w:gridCol w:w="672"/>
      <w:gridCol w:w="9523"/>
    </w:tblGrid>
    <w:tr>
      <w:trPr>
        <w:trHeight w:val="285" w:hRule="atLeast"/>
      </w:trPr>
      <w:tc>
        <w:tcPr>
          <w:tcW w:w="672" w:type="dxa"/>
          <w:tcBorders/>
          <w:tcMar>
            <w:top w:w="15" w:type="dxa"/>
            <w:left w:w="15" w:type="dxa"/>
            <w:bottom w:w="15" w:type="dxa"/>
            <w:right w:w="15" w:type="dxa"/>
          </w:tcMar>
          <w:vAlign w:val="center"/>
        </w:tcPr>
        <w:p/>
      </w:tc>
      <w:tc>
        <w:tcPr>
          <w:tcW w:w="672" w:type="dxa"/>
          <w:tcBorders/>
          <w:tcMar>
            <w:top w:w="15" w:type="dxa"/>
            <w:left w:w="15" w:type="dxa"/>
            <w:bottom w:w="15" w:type="dxa"/>
            <w:right w:w="15" w:type="dxa"/>
          </w:tcMar>
          <w:vAlign w:val="center"/>
        </w:tcPr>
        <w:p/>
      </w:tc>
      <w:tc>
        <w:tcPr>
          <w:tcW w:w="9523" w:type="dxa"/>
          <w:tcBorders/>
          <w:tcMar>
            <w:top w:w="15" w:type="dxa"/>
            <w:left w:w="15" w:type="dxa"/>
            <w:bottom w:w="15" w:type="dxa"/>
            <w:right w:w="15" w:type="dxa"/>
          </w:tcMar>
          <w:vAlign w:val="center"/>
        </w:tcPr>
        <w:p>
          <w:pPr>
            <w:spacing w:before="0" w:after="0"/>
            <w:ind w:left="0"/>
            <w:jc w:val="right"/>
          </w:pPr>
          <w:r>
            <w:rPr>
              <w:rFonts w:ascii="Times New Roman" w:hAnsi="Times New Roman"/>
              <w:b w:val="false"/>
              <w:i w:val="false"/>
              <w:color w:val="000000"/>
              <w:sz w:val="22"/>
            </w:rPr>
            <w:t>, v _</w:t>
          </w:r>
        </w:p>
      </w:tc>
    </w:tr>
  </w:tbl>
</w:ftr>
</file>

<file path=word/numbering.xml><?xml version="1.0" encoding="utf-8"?>
<w:numbering xmlns:w="http://schemas.openxmlformats.org/wordprocessingml/2006/main" xmlns:w15="http://schemas.microsoft.com/office/word/2012/wordml" xmlns:w14="http://schemas.microsoft.com/office/word/2010/wordml" xmlns:r="http://schemas.openxmlformats.org/officeDocument/2006/relationships" xmlns:m="http://schemas.openxmlformats.org/officeDocument/2006/math" xmlns:wp="http://schemas.openxmlformats.org/drawingml/2006/wordprocessingDrawing" xmlns:a="http://schemas.openxmlformats.org/drawingml/2006/main" xmlns:wp14="http://schemas.microsoft.com/office/word/2010/wordprocessingDrawing" xmlns:mc="http://schemas.openxmlformats.org/markup-compatibility/2006" xmlns:a14="http://schemas.microsoft.com/office/drawing/2010/main" xmlns:sl="http://schemas.openxmlformats.org/schemaLibrary/2006/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file>

<file path=word/settings.xml><?xml version="1.0" encoding="utf-8"?>
<w:settings xmlns:w="http://schemas.openxmlformats.org/wordprocessingml/2006/main" xmlns:w15="http://schemas.microsoft.com/office/word/2012/wordml" xmlns:w14="http://schemas.microsoft.com/office/word/2010/wordml" xmlns:r="http://schemas.openxmlformats.org/officeDocument/2006/relationships" xmlns:m="http://schemas.openxmlformats.org/officeDocument/2006/math" xmlns:wp="http://schemas.openxmlformats.org/drawingml/2006/wordprocessingDrawing" xmlns:a="http://schemas.openxmlformats.org/drawingml/2006/main" xmlns:wp14="http://schemas.microsoft.com/office/word/2010/wordprocessingDrawing" xmlns:mc="http://schemas.openxmlformats.org/markup-compatibility/2006" xmlns:a14="http://schemas.microsoft.com/office/drawing/2010/main" xmlns:sl="http://schemas.openxmlformats.org/schemaLibrary/2006/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mc:Ignorable="">
  <w:compat>
    <w:compatSetting w:name="overrideTableStyleFontSizeAndJustification" w:uri="http://schemas.microsoft.com/office/word" w:val="1"/>
  </w:compat>
</w:settings>
</file>

<file path=word/styles.xml><?xml version="1.0" encoding="utf-8"?>
<w:styles xmlns:w="http://schemas.openxmlformats.org/wordprocessingml/2006/main" xmlns:w15="http://schemas.microsoft.com/office/word/2012/wordml" xmlns:w14="http://schemas.microsoft.com/office/word/2010/wordml" xmlns:r="http://schemas.openxmlformats.org/officeDocument/2006/relationships" xmlns:m="http://schemas.openxmlformats.org/officeDocument/2006/math" xmlns:wp="http://schemas.openxmlformats.org/drawingml/2006/wordprocessingDrawing" xmlns:a="http://schemas.openxmlformats.org/drawingml/2006/main" xmlns:wp14="http://schemas.microsoft.com/office/word/2010/wordprocessingDrawing" xmlns:mc="http://schemas.openxmlformats.org/markup-compatibility/2006" xmlns:a14="http://schemas.microsoft.com/office/drawing/2010/main" xmlns:sl="http://schemas.openxmlformats.org/schemaLibrary/2006/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w:docDefaults>
    <w:rPrDefault>
      <w:rPr>
        <w:rFonts w:asciiTheme="minorHAnsi" w:hAnsiTheme="minorHAnsi" w:eastAsiaTheme="minorHAnsi" w:cstheme="minorBidi"/>
        <w:sz w:val="22"/>
        <w:szCs w:val="22"/>
        <w:lang w:val="en-US" w:eastAsia="en-US" w:bidi="ar-SA"/>
      </w:rPr>
    </w:rPrDefault>
    <w:pPrDefault>
      <w:pPr>
        <w:spacing w:after="200" w:line="276" w:lineRule="auto"/>
      </w:pPr>
    </w:pPrDefault>
  </w:docDefaults>
  <w:latentStyles w:defLockedState="false" w:defUIPriority="99" w:defSemiHidden="true" w:defUnhideWhenUsed="true" w:defQFormat="false" w:count="267">
    <w:lsdException w:name="Normal" w:uiPriority="0" w:semiHidden="false" w:unhideWhenUsed="false" w:qFormat="true"/>
    <w:lsdException w:name="heading 1" w:uiPriority="9" w:semiHidden="false" w:unhideWhenUsed="false" w:qFormat="true"/>
    <w:lsdException w:name="heading 2" w:uiPriority="9" w:qFormat="true"/>
    <w:lsdException w:name="heading 3" w:uiPriority="9" w:qFormat="true"/>
    <w:lsdException w:name="heading 4" w:uiPriority="9" w:qFormat="true"/>
    <w:lsdException w:name="Title" w:uiPriority="10" w:semiHidden="false" w:unhideWhenUsed="false" w:qFormat="true"/>
    <w:lsdException w:name="Default Paragraph Font" w:uiPriority="1"/>
    <w:lsdException w:name="Subtitle" w:uiPriority="11" w:semiHidden="false" w:unhideWhenUsed="false" w:qFormat="true"/>
    <w:lsdException w:name="Emphasis" w:uiPriority="20" w:semiHidden="false" w:unhideWhenUsed="false" w:qFormat="true"/>
    <w:lsdException w:name="Table Grid" w:uiPriority="59" w:semiHidden="false" w:unhideWhenUsed="false"/>
  </w:latentStyles>
  <w:style w:type="paragraph" w:styleId="Normal" w:default="true">
    <w:name w:val="Normal"/>
    <w:qFormat/>
    <w:rsid w:val="004A3277"/>
  </w:style>
  <w:style w:type="paragraph" w:styleId="Heading1">
    <w:name w:val="heading 1"/>
    <w:basedOn w:val="Normal"/>
    <w:next w:val="Normal"/>
    <w:link w:val="Heading1Char"/>
    <w:uiPriority w:val="9"/>
    <w:qFormat/>
    <w:rsid w:val="00841CD9"/>
    <w:pPr>
      <w:keepNext/>
      <w:keepLines/>
      <w:spacing w:before="480"/>
      <w:outlineLvl w:val="0"/>
    </w:pPr>
    <w:rPr>
      <w:rFonts w:asciiTheme="majorHAnsi" w:hAnsiTheme="majorHAnsi" w:eastAsiaTheme="majorEastAsia"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841CD9"/>
    <w:pPr>
      <w:keepNext/>
      <w:keepLines/>
      <w:spacing w:before="200"/>
      <w:outlineLvl w:val="1"/>
    </w:pPr>
    <w:rPr>
      <w:rFonts w:asciiTheme="majorHAnsi" w:hAnsiTheme="majorHAnsi" w:eastAsiaTheme="majorEastAsia" w:cstheme="majorBidi"/>
      <w:b/>
      <w:bCs/>
      <w:color w:val="4F81BD" w:themeColor="accent1"/>
      <w:sz w:val="26"/>
      <w:szCs w:val="26"/>
    </w:rPr>
  </w:style>
  <w:style w:type="paragraph" w:styleId="Heading3">
    <w:name w:val="heading 3"/>
    <w:basedOn w:val="Normal"/>
    <w:next w:val="Normal"/>
    <w:link w:val="Heading3Char"/>
    <w:uiPriority w:val="9"/>
    <w:unhideWhenUsed/>
    <w:qFormat/>
    <w:rsid w:val="00841CD9"/>
    <w:pPr>
      <w:keepNext/>
      <w:keepLines/>
      <w:spacing w:before="200"/>
      <w:outlineLvl w:val="2"/>
    </w:pPr>
    <w:rPr>
      <w:rFonts w:asciiTheme="majorHAnsi" w:hAnsiTheme="majorHAnsi" w:eastAsiaTheme="majorEastAsia" w:cstheme="majorBidi"/>
      <w:b/>
      <w:bCs/>
      <w:color w:val="4F81BD" w:themeColor="accent1"/>
    </w:rPr>
  </w:style>
  <w:style w:type="paragraph" w:styleId="Heading4">
    <w:name w:val="heading 4"/>
    <w:basedOn w:val="Normal"/>
    <w:next w:val="Normal"/>
    <w:link w:val="Heading4Char"/>
    <w:uiPriority w:val="9"/>
    <w:unhideWhenUsed/>
    <w:qFormat/>
    <w:rsid w:val="00841CD9"/>
    <w:pPr>
      <w:keepNext/>
      <w:keepLines/>
      <w:spacing w:before="200"/>
      <w:outlineLvl w:val="3"/>
    </w:pPr>
    <w:rPr>
      <w:rFonts w:asciiTheme="majorHAnsi" w:hAnsiTheme="majorHAnsi" w:eastAsiaTheme="majorEastAsia" w:cstheme="majorBidi"/>
      <w:b/>
      <w:bCs/>
      <w:i/>
      <w:iCs/>
      <w:color w:val="4F81BD" w:themeColor="accent1"/>
    </w:rPr>
  </w:style>
  <w:style w:type="character" w:styleId="DefaultParagraphFont" w:default="true">
    <w:name w:val="Default Paragraph Font"/>
    <w:uiPriority w:val="1"/>
    <w:semiHidden/>
    <w:unhideWhenUsed/>
  </w:style>
  <w:style w:type="paragraph" w:styleId="Header">
    <w:name w:val="header"/>
    <w:basedOn w:val="Normal"/>
    <w:link w:val="HeaderChar"/>
    <w:uiPriority w:val="99"/>
    <w:unhideWhenUsed/>
    <w:rsid w:val="00841CD9"/>
    <w:pPr>
      <w:tabs>
        <w:tab w:val="center" w:pos="4680"/>
        <w:tab w:val="right" w:pos="9360"/>
      </w:tabs>
    </w:pPr>
  </w:style>
  <w:style w:type="character" w:styleId="HeaderChar" w:customStyle="true">
    <w:name w:val="Header Char"/>
    <w:basedOn w:val="DefaultParagraphFont"/>
    <w:link w:val="Header"/>
    <w:uiPriority w:val="99"/>
    <w:rsid w:val="00841CD9"/>
  </w:style>
  <w:style w:type="character" w:styleId="Heading1Char" w:customStyle="true">
    <w:name w:val="Heading 1 Char"/>
    <w:basedOn w:val="DefaultParagraphFont"/>
    <w:link w:val="Heading1"/>
    <w:uiPriority w:val="9"/>
    <w:rsid w:val="00841CD9"/>
    <w:rPr>
      <w:rFonts w:asciiTheme="majorHAnsi" w:hAnsiTheme="majorHAnsi" w:eastAsiaTheme="majorEastAsia" w:cstheme="majorBidi"/>
      <w:b/>
      <w:bCs/>
      <w:color w:val="365F91" w:themeColor="accent1" w:themeShade="BF"/>
      <w:sz w:val="28"/>
      <w:szCs w:val="28"/>
    </w:rPr>
  </w:style>
  <w:style w:type="character" w:styleId="Heading2Char" w:customStyle="true">
    <w:name w:val="Heading 2 Char"/>
    <w:basedOn w:val="DefaultParagraphFont"/>
    <w:link w:val="Heading2"/>
    <w:uiPriority w:val="9"/>
    <w:rsid w:val="00841CD9"/>
    <w:rPr>
      <w:rFonts w:asciiTheme="majorHAnsi" w:hAnsiTheme="majorHAnsi" w:eastAsiaTheme="majorEastAsia" w:cstheme="majorBidi"/>
      <w:b/>
      <w:bCs/>
      <w:color w:val="4F81BD" w:themeColor="accent1"/>
      <w:sz w:val="26"/>
      <w:szCs w:val="26"/>
    </w:rPr>
  </w:style>
  <w:style w:type="character" w:styleId="Heading3Char" w:customStyle="true">
    <w:name w:val="Heading 3 Char"/>
    <w:basedOn w:val="DefaultParagraphFont"/>
    <w:link w:val="Heading3"/>
    <w:uiPriority w:val="9"/>
    <w:rsid w:val="00841CD9"/>
    <w:rPr>
      <w:rFonts w:asciiTheme="majorHAnsi" w:hAnsiTheme="majorHAnsi" w:eastAsiaTheme="majorEastAsia" w:cstheme="majorBidi"/>
      <w:b/>
      <w:bCs/>
      <w:color w:val="4F81BD" w:themeColor="accent1"/>
    </w:rPr>
  </w:style>
  <w:style w:type="character" w:styleId="Heading4Char" w:customStyle="true">
    <w:name w:val="Heading 4 Char"/>
    <w:basedOn w:val="DefaultParagraphFont"/>
    <w:link w:val="Heading4"/>
    <w:uiPriority w:val="9"/>
    <w:rsid w:val="00841CD9"/>
    <w:rPr>
      <w:rFonts w:asciiTheme="majorHAnsi" w:hAnsiTheme="majorHAnsi" w:eastAsiaTheme="majorEastAsia" w:cstheme="majorBidi"/>
      <w:b/>
      <w:bCs/>
      <w:i/>
      <w:iCs/>
      <w:color w:val="4F81BD" w:themeColor="accent1"/>
    </w:rPr>
  </w:style>
  <w:style w:type="paragraph" w:styleId="NormalIndent">
    <w:name w:val="Normal Indent"/>
    <w:basedOn w:val="Normal"/>
    <w:uiPriority w:val="99"/>
    <w:unhideWhenUsed/>
    <w:rsid w:val="00841CD9"/>
    <w:pPr>
      <w:ind w:left="720"/>
    </w:pPr>
  </w:style>
  <w:style w:type="paragraph" w:styleId="Subtitle">
    <w:name w:val="Subtitle"/>
    <w:basedOn w:val="Normal"/>
    <w:next w:val="Normal"/>
    <w:link w:val="SubtitleChar"/>
    <w:uiPriority w:val="11"/>
    <w:qFormat/>
    <w:rsid w:val="00841CD9"/>
    <w:pPr>
      <w:numPr>
        <w:ilvl w:val="1"/>
      </w:numPr>
      <w:ind w:left="86"/>
    </w:pPr>
    <w:rPr>
      <w:rFonts w:asciiTheme="majorHAnsi" w:hAnsiTheme="majorHAnsi" w:eastAsiaTheme="majorEastAsia" w:cstheme="majorBidi"/>
      <w:i/>
      <w:iCs/>
      <w:color w:val="4F81BD" w:themeColor="accent1"/>
      <w:spacing w:val="15"/>
      <w:sz w:val="24"/>
      <w:szCs w:val="24"/>
    </w:rPr>
  </w:style>
  <w:style w:type="character" w:styleId="SubtitleChar" w:customStyle="true">
    <w:name w:val="Subtitle Char"/>
    <w:basedOn w:val="DefaultParagraphFont"/>
    <w:link w:val="Subtitle"/>
    <w:uiPriority w:val="11"/>
    <w:rsid w:val="00841CD9"/>
    <w:rPr>
      <w:rFonts w:asciiTheme="majorHAnsi" w:hAnsiTheme="majorHAnsi" w:eastAsiaTheme="majorEastAsia" w:cstheme="majorBidi"/>
      <w:i/>
      <w:iCs/>
      <w:color w:val="4F81BD" w:themeColor="accent1"/>
      <w:spacing w:val="15"/>
      <w:sz w:val="24"/>
      <w:szCs w:val="24"/>
    </w:rPr>
  </w:style>
  <w:style w:type="paragraph" w:styleId="Title">
    <w:name w:val="Title"/>
    <w:basedOn w:val="Normal"/>
    <w:next w:val="Normal"/>
    <w:link w:val="TitleChar"/>
    <w:uiPriority w:val="10"/>
    <w:qFormat/>
    <w:rsid w:val="00841CD9"/>
    <w:pPr>
      <w:pBdr>
        <w:bottom w:val="single" w:color="4F81BD" w:themeColor="accent1" w:sz="8" w:space="4"/>
      </w:pBdr>
      <w:spacing w:after="300"/>
      <w:contextualSpacing/>
    </w:pPr>
    <w:rPr>
      <w:rFonts w:asciiTheme="majorHAnsi" w:hAnsiTheme="majorHAnsi" w:eastAsiaTheme="majorEastAsia" w:cstheme="majorBidi"/>
      <w:color w:val="17365D" w:themeColor="text2" w:themeShade="BF"/>
      <w:spacing w:val="5"/>
      <w:kern w:val="28"/>
      <w:sz w:val="52"/>
      <w:szCs w:val="52"/>
    </w:rPr>
  </w:style>
  <w:style w:type="character" w:styleId="TitleChar" w:customStyle="true">
    <w:name w:val="Title Char"/>
    <w:basedOn w:val="DefaultParagraphFont"/>
    <w:link w:val="Title"/>
    <w:uiPriority w:val="10"/>
    <w:rsid w:val="00841CD9"/>
    <w:rPr>
      <w:rFonts w:asciiTheme="majorHAnsi" w:hAnsiTheme="majorHAnsi" w:eastAsiaTheme="majorEastAsia" w:cstheme="majorBidi"/>
      <w:color w:val="17365D" w:themeColor="text2" w:themeShade="BF"/>
      <w:spacing w:val="5"/>
      <w:kern w:val="28"/>
      <w:sz w:val="52"/>
      <w:szCs w:val="52"/>
    </w:rPr>
  </w:style>
  <w:style w:type="character" w:styleId="Emphasis">
    <w:name w:val="Emphasis"/>
    <w:basedOn w:val="DefaultParagraphFont"/>
    <w:uiPriority w:val="20"/>
    <w:qFormat/>
    <w:rsid w:val="00D1197D"/>
    <w:rPr>
      <w:i/>
      <w:iCs/>
    </w:rPr>
  </w:style>
  <w:style w:type="character" w:styleId="Hyperlink">
    <w:name w:val="Hyperlink"/>
    <w:basedOn w:val="DefaultParagraphFont"/>
    <w:uiPriority w:val="99"/>
    <w:unhideWhenUsed/>
    <w:rPr>
      <w:color w:val="0000FF" w:themeColor="hyperlink"/>
      <w:u w:val="single"/>
    </w:rPr>
  </w:style>
  <w:style w:type="table" w:styleId="TableGrid">
    <w:name w:val="Table Grid"/>
    <w:basedOn w:val="TableNormal"/>
    <w:uiPriority w:val="59"/>
    <w:pPr>
      <w:spacing w:after="0" w:line="240" w:lineRule="auto"/>
    </w:pPr>
    <w:tblPr>
      <w:tblInd w:w="0" w:type="dxa"/>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insideV w:val="single" w:color="000000" w:themeColor="text1" w:sz="4" w:space="0"/>
      </w:tblBorders>
      <w:tblCellMar>
        <w:top w:w="0" w:type="dxa"/>
        <w:left w:w="108" w:type="dxa"/>
        <w:bottom w:w="0" w:type="dxa"/>
        <w:right w:w="108" w:type="dxa"/>
      </w:tblCellMar>
    </w:tblPr>
  </w:style>
  <w:style w:type="table" w:styleId="TableNormal" w:default="true">
    <w:name w:val="Normal Table"/>
    <w:uiPriority w:val="99"/>
    <w:semiHidden/>
    <w:unhideWhenUsed/>
    <w:qFormat/>
    <w:tblPr>
      <w:tblInd w:w="0" w:type="dxa"/>
      <w:tblCellMar>
        <w:top w:w="0" w:type="dxa"/>
        <w:left w:w="108" w:type="dxa"/>
        <w:bottom w:w="0" w:type="dxa"/>
        <w:right w:w="108" w:type="dxa"/>
      </w:tblCellMar>
    </w:tblPr>
  </w:style>
  <w:style w:type="paragraph" w:styleId="Caption">
    <w:name w:val="caption"/>
    <w:basedOn w:val="Normal"/>
    <w:next w:val="Normal"/>
    <w:uiPriority w:val="35"/>
    <w:semiHidden/>
    <w:unhideWhenUsed/>
    <w:qFormat/>
    <w:rsid w:val="007109C0"/>
    <w:pPr>
      <w:spacing w:line="240" w:lineRule="auto"/>
    </w:pPr>
    <w:rPr>
      <w:b/>
      <w:bCs/>
      <w:color w:val="4F81BD" w:themeColor="accent1"/>
      <w:sz w:val="18"/>
      <w:szCs w:val="18"/>
    </w:rPr>
  </w:style>
</w:styles>
</file>

<file path=word/_rels/document.xml.rels><?xml version="1.0" encoding="UTF-8" standalone="yes"?>
<Relationships xmlns="http://schemas.openxmlformats.org/package/2006/relationships">
    <Relationship Target="styles.xml" Type="http://schemas.openxmlformats.org/officeDocument/2006/relationships/styles" Id="rId1"/>
    <Relationship Target="settings.xml" Type="http://schemas.openxmlformats.org/officeDocument/2006/relationships/settings" Id="rId2"/>
    <Relationship Target="numbering.xml" Type="http://schemas.openxmlformats.org/officeDocument/2006/relationships/numbering" Id="rId3"/>
    <Relationship TargetMode="External" Target="https://www.legis.iowa.gov/docs/iac/chapter/199.6.pdf" Type="http://schemas.openxmlformats.org/officeDocument/2006/relationships/hyperlink" Id="rId4"/>
    <Relationship Target="footer.xml" Type="http://schemas.openxmlformats.org/officeDocument/2006/relationships/footer" Id="rId5"/>
</Relationships>

</file>

<file path=docProps/app.xml><?xml version="1.0" encoding="utf-8"?>
<properties:Properties xmlns:properties="http://schemas.openxmlformats.org/officeDocument/2006/extended-properties" xmlns:vt="http://schemas.openxmlformats.org/officeDocument/2006/docPropsVTypes"/>
</file>

<file path=docProps/core.xml><?xml version="1.0" encoding="utf-8"?>
<cp:coreProperties xmlns:cp="http://schemas.openxmlformats.org/package/2006/metadata/core-properties" xmlns:dcterms="http://purl.org/dc/terms/" xmlns:dc="http://purl.org/dc/elements/1.1/"/>
</file>