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876—2506.69</w:t>
      </w:r>
      <w:r>
        <w:rPr>
          <w:rFonts w:ascii="Times New Roman" w:hAnsi="Times New Roman"/>
          <w:b/>
          <w:i w:val="false"/>
          <w:color w:val="000000"/>
          <w:sz w:val="22"/>
        </w:rPr>
        <w:t xml:space="preserve">(10A,17A,85,85A,85B) </w:t>
      </w:r>
      <w:r>
        <w:rPr>
          <w:rFonts w:ascii="Times New Roman" w:hAnsi="Times New Roman"/>
          <w:b/>
          <w:i w:val="false"/>
          <w:color w:val="000000"/>
          <w:sz w:val="22"/>
        </w:rPr>
        <w:t xml:space="preserve">Rule of electronic procedure. </w:t>
      </w:r>
      <w:r>
        <w:rPr>
          <w:rFonts w:ascii="Times New Roman" w:hAnsi="Times New Roman"/>
          <w:b w:val="false"/>
          <w:i w:val="false"/>
          <w:color w:val="000000"/>
          <w:sz w:val="22"/>
        </w:rPr>
        <w:t xml:space="preserve">Chapter 16 of the Iowa Court Rules of Electronic Procedure shall govern the use and filings in WCES for contested case proceedings before the workers’ compensation commissioner unless the provisions are in conflict with these rules or Iowa Code chapters </w:t>
      </w:r>
      <w:hyperlink r:id="rId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or obviously inapplicable to the workers’ compensation commissioner. In those circumstances, these rules or the appropriate Iowa Code section shall govern. Where appropriate, reference to the word “court” shall be deemed reference to the “workers’ compensation commissioner or deputy workers’ compensation commissioner,” reference to the word “trial” shall be deemed reference to “contested case hearing,” and reference to “clerk of court” shall be deemed reference to staff at the workers’ compensation division.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B.pdf" Type="http://schemas.openxmlformats.org/officeDocument/2006/relationships/hyperlink" Id="rId7"/>
    <Relationship TargetMode="External" Target="https://www.legis.iowa.gov/docs/ico/chapter/87.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85.pdf" Type="http://schemas.openxmlformats.org/officeDocument/2006/relationships/hyperlink" Id="rId11"/>
    <Relationship TargetMode="External" Target="https://www.legis.iowa.gov/docs/ico/chapter/85B.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