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876—2506.68</w:t>
      </w:r>
      <w:r>
        <w:rPr>
          <w:rFonts w:ascii="Times New Roman" w:hAnsi="Times New Roman"/>
          <w:b/>
          <w:i w:val="false"/>
          <w:color w:val="000000"/>
          <w:sz w:val="22"/>
        </w:rPr>
        <w:t xml:space="preserve">(10A,17A) </w:t>
      </w:r>
      <w:r>
        <w:rPr>
          <w:rFonts w:ascii="Times New Roman" w:hAnsi="Times New Roman"/>
          <w:b/>
          <w:i w:val="false"/>
          <w:color w:val="000000"/>
          <w:sz w:val="22"/>
        </w:rPr>
        <w:t xml:space="preserve">Agency notice of judicial review matters. </w:t>
      </w:r>
      <w:r>
        <w:rPr>
          <w:rFonts w:ascii="Times New Roman" w:hAnsi="Times New Roman"/>
          <w:b w:val="false"/>
          <w:i w:val="false"/>
          <w:color w:val="000000"/>
          <w:sz w:val="22"/>
        </w:rPr>
        <w:t>A party that petitions for judicial review shall file a copy of the petition for judicial review in WCES within ten days of filing the petition with a district court. If a party has been granted a waiver of the mandatory use of WCES, the party shall file a copy of the petition for judicial review with the division of workers’ compensation within ten days of filing the petition with a district court. A party shall also file a copy of each appellate court decision in WCES within ten days of the date the appellate court decision was issued and filed. If a party has been granted a waiver of the mandatory use of WCES, the party shall file a copy of the appellate court decision with the division of workers’ compensation within ten days of the date the appellate court decision was issued and filed. Within 45 days of the filing of the final appellate court decision, the same party shall notify the division of workers’ compensation of the result of the appellate process.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10A.322</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322.pdf" Type="http://schemas.openxmlformats.org/officeDocument/2006/relationships/hyperlink" Id="rId4"/>
    <Relationship TargetMode="External" Target="https://www.legis.iowa.gov/docs/ico/chapter/17A.19.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