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footer+xml" PartName="/word/footer.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11.5.9 (Apache licensed) using REFERENCE JAXB in Eclipse Adoptium Java 21.0.9 on Windows Server 2022 -->
    <w:p>
      <w:pPr>
        <w:spacing w:before="0" w:after="0"/>
        <w:ind w:left="120"/>
        <w:jc w:val="both"/>
      </w:pPr>
      <w:r>
        <w:rPr>
          <w:rFonts w:ascii="Times New Roman" w:hAnsi="Times New Roman"/>
          <w:b/>
          <w:i w:val="false"/>
          <w:color w:val="000000"/>
          <w:sz w:val="22"/>
        </w:rPr>
        <w:t>876—2506.66</w:t>
      </w:r>
      <w:r>
        <w:rPr>
          <w:rFonts w:ascii="Times New Roman" w:hAnsi="Times New Roman"/>
          <w:b/>
          <w:i w:val="false"/>
          <w:color w:val="000000"/>
          <w:sz w:val="22"/>
        </w:rPr>
        <w:t xml:space="preserve">(10A,17A,85) </w:t>
      </w:r>
      <w:r>
        <w:rPr>
          <w:rFonts w:ascii="Times New Roman" w:hAnsi="Times New Roman"/>
          <w:b/>
          <w:i w:val="false"/>
          <w:color w:val="000000"/>
          <w:sz w:val="22"/>
        </w:rPr>
        <w:t xml:space="preserve">Method of holding hearing.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2506.66(1)</w:t>
      </w:r>
      <w:r>
        <w:rPr>
          <w:rFonts w:ascii="Times New Roman" w:hAnsi="Times New Roman"/>
          <w:b w:val="false"/>
          <w:i w:val="false"/>
          <w:color w:val="000000"/>
          <w:sz w:val="22"/>
        </w:rPr>
        <w:t> </w:t>
      </w:r>
      <w:r>
        <w:rPr>
          <w:rFonts w:ascii="Times New Roman" w:hAnsi="Times New Roman"/>
          <w:b w:val="false"/>
          <w:i w:val="false"/>
          <w:color w:val="000000"/>
          <w:sz w:val="22"/>
        </w:rPr>
        <w:t>Any hearing held under this chapter may be by voice or video technology, including but not limited to Internet-based video.</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2506.66(2)</w:t>
      </w:r>
      <w:r>
        <w:rPr>
          <w:rFonts w:ascii="Times New Roman" w:hAnsi="Times New Roman"/>
          <w:b w:val="false"/>
          <w:i w:val="false"/>
          <w:color w:val="000000"/>
          <w:sz w:val="22"/>
        </w:rPr>
        <w:t> </w:t>
      </w:r>
      <w:r>
        <w:rPr>
          <w:rFonts w:ascii="Times New Roman" w:hAnsi="Times New Roman"/>
          <w:b w:val="false"/>
          <w:i w:val="false"/>
          <w:color w:val="000000"/>
          <w:sz w:val="22"/>
        </w:rPr>
        <w:t xml:space="preserve">A hearing shall not be held in proceedings under subrules </w:t>
      </w:r>
      <w:hyperlink r:id="rId4">
        <w:r>
          <w:rPr>
            <w:rStyle w:val="Hyperlink"/>
            <w:rFonts w:ascii="Times New Roman" w:hAnsi="Times New Roman"/>
            <w:b w:val="false"/>
            <w:i w:val="false"/>
            <w:color w:val="000000"/>
            <w:sz w:val="22"/>
          </w:rPr>
          <w:t>2506.32(8)</w:t>
        </w:r>
      </w:hyperlink>
      <w:r>
        <w:rPr>
          <w:rFonts w:ascii="Times New Roman" w:hAnsi="Times New Roman"/>
          <w:b w:val="false"/>
          <w:i w:val="false"/>
          <w:color w:val="000000"/>
          <w:sz w:val="22"/>
        </w:rPr>
        <w:t xml:space="preserve"> through </w:t>
      </w:r>
      <w:hyperlink r:id="rId5">
        <w:r>
          <w:rPr>
            <w:rStyle w:val="Hyperlink"/>
            <w:rFonts w:ascii="Times New Roman" w:hAnsi="Times New Roman"/>
            <w:b w:val="false"/>
            <w:i w:val="false"/>
            <w:color w:val="000000"/>
            <w:sz w:val="22"/>
          </w:rPr>
          <w:t>2506.32(12)</w:t>
        </w:r>
      </w:hyperlink>
      <w:r>
        <w:rPr>
          <w:rFonts w:ascii="Times New Roman" w:hAnsi="Times New Roman"/>
          <w:b w:val="false"/>
          <w:i w:val="false"/>
          <w:color w:val="000000"/>
          <w:sz w:val="22"/>
        </w:rPr>
        <w:t xml:space="preserve"> unless otherwise ordered or requested in writing by the petitioner in the original notice and petition or by the respondent within ten days following the time allowed by these rules for appearance.</w:t>
      </w:r>
    </w:p>
    <w:p>
      <w:pPr>
        <w:spacing w:before="0" w:after="0"/>
        <w:ind w:left="120"/>
        <w:jc w:val="both"/>
      </w:pPr>
      <w:r>
        <w:rPr>
          <w:rFonts w:ascii="Times New Roman" w:hAnsi="Times New Roman"/>
          <w:b w:val="false"/>
          <w:i w:val="false"/>
          <w:color w:val="000000"/>
          <w:sz w:val="22"/>
        </w:rPr>
        <w:t xml:space="preserve">This rule is intended to implement Iowa Code sections </w:t>
      </w:r>
      <w:hyperlink r:id="rId6">
        <w:r>
          <w:rPr>
            <w:rStyle w:val="Hyperlink"/>
            <w:rFonts w:ascii="Times New Roman" w:hAnsi="Times New Roman"/>
            <w:b w:val="false"/>
            <w:i w:val="false"/>
            <w:color w:val="000000"/>
            <w:sz w:val="22"/>
          </w:rPr>
          <w:t>10A.310</w:t>
        </w:r>
      </w:hyperlink>
      <w:r>
        <w:rPr>
          <w:rFonts w:ascii="Times New Roman" w:hAnsi="Times New Roman"/>
          <w:b w:val="false"/>
          <w:i w:val="false"/>
          <w:color w:val="000000"/>
          <w:sz w:val="22"/>
        </w:rPr>
        <w:t xml:space="preserve">, </w:t>
      </w:r>
      <w:hyperlink r:id="rId7">
        <w:r>
          <w:rPr>
            <w:rStyle w:val="Hyperlink"/>
            <w:rFonts w:ascii="Times New Roman" w:hAnsi="Times New Roman"/>
            <w:b w:val="false"/>
            <w:i w:val="false"/>
            <w:color w:val="000000"/>
            <w:sz w:val="22"/>
          </w:rPr>
          <w:t>10A.318</w:t>
        </w:r>
      </w:hyperlink>
      <w:r>
        <w:rPr>
          <w:rFonts w:ascii="Times New Roman" w:hAnsi="Times New Roman"/>
          <w:b w:val="false"/>
          <w:i w:val="false"/>
          <w:color w:val="000000"/>
          <w:sz w:val="22"/>
        </w:rPr>
        <w:t xml:space="preserve">, </w:t>
      </w:r>
      <w:hyperlink r:id="rId8">
        <w:r>
          <w:rPr>
            <w:rStyle w:val="Hyperlink"/>
            <w:rFonts w:ascii="Times New Roman" w:hAnsi="Times New Roman"/>
            <w:b w:val="false"/>
            <w:i w:val="false"/>
            <w:color w:val="000000"/>
            <w:sz w:val="22"/>
          </w:rPr>
          <w:t>10A.319</w:t>
        </w:r>
      </w:hyperlink>
      <w:r>
        <w:rPr>
          <w:rFonts w:ascii="Times New Roman" w:hAnsi="Times New Roman"/>
          <w:b w:val="false"/>
          <w:i w:val="false"/>
          <w:color w:val="000000"/>
          <w:sz w:val="22"/>
        </w:rPr>
        <w:t xml:space="preserve">, </w:t>
      </w:r>
      <w:hyperlink r:id="rId9">
        <w:r>
          <w:rPr>
            <w:rStyle w:val="Hyperlink"/>
            <w:rFonts w:ascii="Times New Roman" w:hAnsi="Times New Roman"/>
            <w:b w:val="false"/>
            <w:i w:val="false"/>
            <w:color w:val="000000"/>
            <w:sz w:val="22"/>
          </w:rPr>
          <w:t>17A.12</w:t>
        </w:r>
      </w:hyperlink>
      <w:r>
        <w:rPr>
          <w:rFonts w:ascii="Times New Roman" w:hAnsi="Times New Roman"/>
          <w:b w:val="false"/>
          <w:i w:val="false"/>
          <w:color w:val="000000"/>
          <w:sz w:val="22"/>
        </w:rPr>
        <w:t xml:space="preserve">, and </w:t>
      </w:r>
      <w:hyperlink r:id="rId10">
        <w:r>
          <w:rPr>
            <w:rStyle w:val="Hyperlink"/>
            <w:rFonts w:ascii="Times New Roman" w:hAnsi="Times New Roman"/>
            <w:b w:val="false"/>
            <w:i w:val="false"/>
            <w:color w:val="000000"/>
            <w:sz w:val="22"/>
          </w:rPr>
          <w:t>85.27</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0408D</w:t>
      </w:r>
      <w:r>
        <w:rPr>
          <w:rFonts w:ascii="Times New Roman" w:hAnsi="Times New Roman"/>
          <w:b w:val="false"/>
          <w:i w:val="false"/>
          <w:color w:val="000000"/>
          <w:sz w:val="16"/>
        </w:rPr>
        <w:t>, IAB 7/8/26, effective 6/30/26</w:t>
      </w:r>
      <w:r>
        <w:rPr>
          <w:rFonts w:ascii="Times New Roman" w:hAnsi="Times New Roman"/>
          <w:b w:val="false"/>
          <w:i w:val="false"/>
          <w:color w:val="000000"/>
          <w:sz w:val="16"/>
        </w:rPr>
        <w:t>]</w:t>
      </w:r>
    </w:p>
    <w:sectPr>
      <w:footerReference r:id="rId11"/>
      <w:pgSz w:w="11907" w:h="16839" w:code="9"/>
      <w:pgMar w:top="1440" w:right="1440" w:bottom="1440" w:left="1440"/>
    </w:sectPr>
  </w:body>
</w:document>
</file>

<file path=word/footer.xml><?xml version="1.0" encoding="utf-8"?>
<w:ftr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tbl>
    <w:tblPr>
      <w:tblW w:w="0" w:type="auto"/>
      <w:tblCellSpacing w:w="20" w:type="dxa"/>
      <w:tblBorders>
        <w:top w:val="none"/>
        <w:left w:val="none"/>
        <w:bottom w:val="none"/>
        <w:right w:val="none"/>
        <w:insideH w:val="none"/>
        <w:insideV w:val="none"/>
      </w:tblBorders>
    </w:tblPr>
    <w:tblGrid>
      <w:gridCol w:w="672"/>
      <w:gridCol w:w="672"/>
      <w:gridCol w:w="9523"/>
    </w:tblGrid>
    <w:tr>
      <w:trPr>
        <w:trHeight w:val="285" w:hRule="atLeast"/>
      </w:trPr>
      <w:tc>
        <w:tcPr>
          <w:tcW w:w="672" w:type="dxa"/>
          <w:tcBorders/>
          <w:tcMar>
            <w:top w:w="15" w:type="dxa"/>
            <w:left w:w="15" w:type="dxa"/>
            <w:bottom w:w="15" w:type="dxa"/>
            <w:right w:w="15" w:type="dxa"/>
          </w:tcMar>
          <w:vAlign w:val="center"/>
        </w:tcPr>
        <w:p/>
      </w:tc>
      <w:tc>
        <w:tcPr>
          <w:tcW w:w="672" w:type="dxa"/>
          <w:tcBorders/>
          <w:tcMar>
            <w:top w:w="15" w:type="dxa"/>
            <w:left w:w="15" w:type="dxa"/>
            <w:bottom w:w="15" w:type="dxa"/>
            <w:right w:w="15" w:type="dxa"/>
          </w:tcMar>
          <w:vAlign w:val="center"/>
        </w:tcPr>
        <w:p/>
      </w:tc>
      <w:tc>
        <w:tcPr>
          <w:tcW w:w="9523" w:type="dxa"/>
          <w:tcBorders/>
          <w:tcMar>
            <w:top w:w="15" w:type="dxa"/>
            <w:left w:w="15" w:type="dxa"/>
            <w:bottom w:w="15" w:type="dxa"/>
            <w:right w:w="15" w:type="dxa"/>
          </w:tcMar>
          <w:vAlign w:val="center"/>
        </w:tcPr>
        <w:p>
          <w:pPr>
            <w:spacing w:before="0" w:after="0"/>
            <w:ind w:left="0"/>
            <w:jc w:val="right"/>
          </w:pPr>
          <w:r>
            <w:rPr>
              <w:rFonts w:ascii="Times New Roman" w:hAnsi="Times New Roman"/>
              <w:b w:val="false"/>
              <w:i w:val="false"/>
              <w:color w:val="000000"/>
              <w:sz w:val="22"/>
            </w:rPr>
            <w:t>, v _</w:t>
          </w:r>
        </w:p>
      </w:tc>
    </w:tr>
  </w:tbl>
</w:ftr>
</file>

<file path=word/numbering.xml><?xml version="1.0" encoding="utf-8"?>
<w:numbering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file>

<file path=word/settings.xml><?xml version="1.0" encoding="utf-8"?>
<w:settings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Mode="External" Target="https://www.legis.iowa.gov/docs/iac/rule/876.2506.32.pdf" Type="http://schemas.openxmlformats.org/officeDocument/2006/relationships/hyperlink" Id="rId4"/>
    <Relationship TargetMode="External" Target="https://www.legis.iowa.gov/docs/iac/rule/876.2506.32.pdf" Type="http://schemas.openxmlformats.org/officeDocument/2006/relationships/hyperlink" Id="rId5"/>
    <Relationship TargetMode="External" Target="https://www.legis.iowa.gov/docs/ico/chapter/10A.310.pdf" Type="http://schemas.openxmlformats.org/officeDocument/2006/relationships/hyperlink" Id="rId6"/>
    <Relationship TargetMode="External" Target="https://www.legis.iowa.gov/docs/ico/chapter/10A.318.pdf" Type="http://schemas.openxmlformats.org/officeDocument/2006/relationships/hyperlink" Id="rId7"/>
    <Relationship TargetMode="External" Target="https://www.legis.iowa.gov/docs/ico/chapter/10A.319.pdf" Type="http://schemas.openxmlformats.org/officeDocument/2006/relationships/hyperlink" Id="rId8"/>
    <Relationship TargetMode="External" Target="https://www.legis.iowa.gov/docs/ico/chapter/17A.12.pdf" Type="http://schemas.openxmlformats.org/officeDocument/2006/relationships/hyperlink" Id="rId9"/>
    <Relationship TargetMode="External" Target="https://www.legis.iowa.gov/docs/ico/chapter/85.27.pdf" Type="http://schemas.openxmlformats.org/officeDocument/2006/relationships/hyperlink" Id="rId10"/>
    <Relationship Target="footer.xml" Type="http://schemas.openxmlformats.org/officeDocument/2006/relationships/footer" Id="rId11"/>
</Relationships>

</file>

<file path=docProps/app.xml><?xml version="1.0" encoding="utf-8"?>
<properties:Properties xmlns:propertie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terms="http://purl.org/dc/terms/" xmlns:dc="http://purl.org/dc/elements/1.1/"/>
</file>