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876—2506.65</w:t>
      </w:r>
      <w:r>
        <w:rPr>
          <w:rFonts w:ascii="Times New Roman" w:hAnsi="Times New Roman"/>
          <w:b/>
          <w:i w:val="false"/>
          <w:color w:val="000000"/>
          <w:sz w:val="22"/>
        </w:rPr>
        <w:t xml:space="preserve">(10A,17A,85) </w:t>
      </w:r>
      <w:r>
        <w:rPr>
          <w:rFonts w:ascii="Times New Roman" w:hAnsi="Times New Roman"/>
          <w:b/>
          <w:i w:val="false"/>
          <w:color w:val="000000"/>
          <w:sz w:val="22"/>
        </w:rPr>
        <w:t xml:space="preserve">Application for alternate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establish the procedures for issuing decisions on applications for alternate care within the time provided in Iowa Code section </w:t>
      </w:r>
      <w:hyperlink r:id="rId4">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 for alternate care,”</w:t>
      </w:r>
      <w:r>
        <w:rPr>
          <w:rFonts w:ascii="Times New Roman" w:hAnsi="Times New Roman"/>
          <w:b w:val="false"/>
          <w:i w:val="false"/>
          <w:color w:val="000000"/>
          <w:sz w:val="22"/>
        </w:rPr>
        <w:t> </w:t>
      </w:r>
      <w:r>
        <w:rPr>
          <w:rFonts w:ascii="Times New Roman" w:hAnsi="Times New Roman"/>
          <w:b w:val="false"/>
          <w:i w:val="false"/>
          <w:color w:val="000000"/>
          <w:sz w:val="22"/>
        </w:rPr>
        <w:t xml:space="preserve">hereinafter referred to as “application,” shall mean a contested case proceeding filed with the workers’ compensation commissioner that requests alternate care pursuant to Iowa Code section </w:t>
      </w:r>
      <w:hyperlink r:id="rId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person or entity that is liable for payment of medical services provided pursuant to the Iowa workers’ compensation laws and includes an employer, an employer who has been relieved from insurance pursuant to Iowa Code section </w:t>
      </w:r>
      <w:hyperlink r:id="rId6">
        <w:r>
          <w:rPr>
            <w:rStyle w:val="Hyperlink"/>
            <w:rFonts w:ascii="Times New Roman" w:hAnsi="Times New Roman"/>
            <w:b w:val="false"/>
            <w:i w:val="false"/>
            <w:color w:val="000000"/>
            <w:sz w:val="22"/>
          </w:rPr>
          <w:t>87.11</w:t>
        </w:r>
      </w:hyperlink>
      <w:r>
        <w:rPr>
          <w:rFonts w:ascii="Times New Roman" w:hAnsi="Times New Roman"/>
          <w:b w:val="false"/>
          <w:i w:val="false"/>
          <w:color w:val="000000"/>
          <w:sz w:val="22"/>
        </w:rPr>
        <w:t>, and an insurance carrier that provides an employer with workers’ compensation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“Proper application”</w:t>
      </w:r>
      <w:r>
        <w:rPr>
          <w:rFonts w:ascii="Times New Roman" w:hAnsi="Times New Roman"/>
          <w:b w:val="false"/>
          <w:i w:val="false"/>
          <w:color w:val="000000"/>
          <w:sz w:val="22"/>
        </w:rPr>
        <w:t> </w:t>
      </w:r>
      <w:r>
        <w:rPr>
          <w:rFonts w:ascii="Times New Roman" w:hAnsi="Times New Roman"/>
          <w:b w:val="false"/>
          <w:i w:val="false"/>
          <w:color w:val="000000"/>
          <w:sz w:val="22"/>
        </w:rPr>
        <w:t>means an application for alternate care that complies with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2506.65(3)</w:t>
      </w:r>
      <w:r>
        <w:rPr>
          <w:rFonts w:ascii="Times New Roman" w:hAnsi="Times New Roman"/>
          <w:b w:val="false"/>
          <w:i w:val="false"/>
          <w:color w:val="000000"/>
          <w:sz w:val="22"/>
        </w:rPr>
        <w:t> </w:t>
      </w:r>
      <w:r>
        <w:rPr>
          <w:rFonts w:ascii="Times New Roman" w:hAnsi="Times New Roman"/>
          <w:b w:val="false"/>
          <w:i/>
          <w:color w:val="000000"/>
          <w:sz w:val="22"/>
        </w:rPr>
        <w:t xml:space="preserve">Dissatisfaction—basis. </w:t>
      </w:r>
      <w:r>
        <w:rPr>
          <w:rFonts w:ascii="Times New Roman" w:hAnsi="Times New Roman"/>
          <w:b w:val="false"/>
          <w:i w:val="false"/>
          <w:color w:val="000000"/>
          <w:sz w:val="22"/>
        </w:rPr>
        <w:t>Prior to filing the application, the employee must communicate the basis of dissatisfaction of the care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2506.65(4)</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filed on the form provided by the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Concern only the issue of alternate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the reasons for the employee’s dissatisfaction with the care chosen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served on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Contain proof of service on the employer;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Specify whether a telephone or in-person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2506.65(5)</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No filing fee is due. More information can be found in paragraph </w:t>
      </w:r>
      <w:hyperlink r:id="rId7">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2506.65(6)</w:t>
      </w:r>
      <w:r>
        <w:rPr>
          <w:rFonts w:ascii="Times New Roman" w:hAnsi="Times New Roman"/>
          <w:b w:val="false"/>
          <w:i w:val="false"/>
          <w:color w:val="000000"/>
          <w:sz w:val="22"/>
        </w:rPr>
        <w:t> </w:t>
      </w:r>
      <w:r>
        <w:rPr>
          <w:rFonts w:ascii="Times New Roman" w:hAnsi="Times New Roman"/>
          <w:b w:val="false"/>
          <w:i/>
          <w:color w:val="000000"/>
          <w:sz w:val="22"/>
        </w:rPr>
        <w:t xml:space="preserve">Employer liability. </w:t>
      </w:r>
      <w:r>
        <w:rPr>
          <w:rFonts w:ascii="Times New Roman" w:hAnsi="Times New Roman"/>
          <w:b w:val="false"/>
          <w:i w:val="false"/>
          <w:color w:val="000000"/>
          <w:sz w:val="22"/>
        </w:rPr>
        <w:t xml:space="preserve">Application cannot be filed under this rule if the liability of the employer is an issue. If an application is filed where the liability of the employer is an issue, the application will be dismissed without prejudice. (Petitions for alternate care where liability of the employer is an issue should be filed pursuant to subrule </w:t>
      </w:r>
      <w:hyperlink r:id="rId8">
        <w:r>
          <w:rPr>
            <w:rStyle w:val="Hyperlink"/>
            <w:rFonts w:ascii="Times New Roman" w:hAnsi="Times New Roman"/>
            <w:b w:val="false"/>
            <w:i w:val="false"/>
            <w:color w:val="000000"/>
            <w:sz w:val="22"/>
          </w:rPr>
          <w:t>2506.32(3)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2506.65(7)</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workers’ compensation commissioner will notify the parties by ordinary mail, by facsimile transmission (fax), by electronic mail (email), or by WCES of the time, place and nature of the hearing. No notice will be made until a proper application is received by the workers’ compensation commissioner. The notice will specify whether the hearing will be by telephone, in person or by digital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2506.65(8)</w:t>
      </w:r>
      <w:r>
        <w:rPr>
          <w:rFonts w:ascii="Times New Roman" w:hAnsi="Times New Roman"/>
          <w:b w:val="false"/>
          <w:i w:val="false"/>
          <w:color w:val="000000"/>
          <w:sz w:val="22"/>
        </w:rPr>
        <w:t> </w:t>
      </w:r>
      <w:r>
        <w:rPr>
          <w:rFonts w:ascii="Times New Roman" w:hAnsi="Times New Roman"/>
          <w:b w:val="false"/>
          <w:i/>
          <w:color w:val="000000"/>
          <w:sz w:val="22"/>
        </w:rPr>
        <w:t xml:space="preserve">Appearance or answer. </w:t>
      </w:r>
      <w:r>
        <w:rPr>
          <w:rFonts w:ascii="Times New Roman" w:hAnsi="Times New Roman"/>
          <w:b w:val="false"/>
          <w:i w:val="false"/>
          <w:color w:val="000000"/>
          <w:sz w:val="22"/>
        </w:rPr>
        <w:t>After being served with an application for alternate care, the employer shall file an appearance of answer as soon as practicable before the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2506.65(9)</w:t>
      </w:r>
      <w:r>
        <w:rPr>
          <w:rFonts w:ascii="Times New Roman" w:hAnsi="Times New Roman"/>
          <w:b w:val="false"/>
          <w:i w:val="false"/>
          <w:color w:val="000000"/>
          <w:sz w:val="22"/>
        </w:rPr>
        <w:t> </w:t>
      </w:r>
      <w:r>
        <w:rPr>
          <w:rFonts w:ascii="Times New Roman" w:hAnsi="Times New Roman"/>
          <w:b w:val="false"/>
          <w:i/>
          <w:color w:val="000000"/>
          <w:sz w:val="22"/>
        </w:rPr>
        <w:t xml:space="preserve">Discovery and evidence. </w:t>
      </w:r>
      <w:r>
        <w:rPr>
          <w:rFonts w:ascii="Times New Roman" w:hAnsi="Times New Roman"/>
          <w:b w:val="false"/>
          <w:i w:val="false"/>
          <w:color w:val="000000"/>
          <w:sz w:val="22"/>
        </w:rPr>
        <w:t>All discovery must be completed prior to the contested case hearing. Any written evidence to be used by the employer or the employee must be exchanged prior to the hearing. All written evidence must be filed with the agency before the date of the hearing. Written evidence shall be limited to ten pages per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2506.65(10)</w:t>
      </w:r>
      <w:r>
        <w:rPr>
          <w:rFonts w:ascii="Times New Roman" w:hAnsi="Times New Roman"/>
          <w:b w:val="false"/>
          <w:i w:val="false"/>
          <w:color w:val="000000"/>
          <w:sz w:val="22"/>
        </w:rPr>
        <w:t> </w:t>
      </w:r>
      <w:r>
        <w:rPr>
          <w:rFonts w:ascii="Times New Roman" w:hAnsi="Times New Roman"/>
          <w:b w:val="false"/>
          <w:i/>
          <w:color w:val="000000"/>
          <w:sz w:val="22"/>
        </w:rPr>
        <w:t xml:space="preserve">Motions. </w:t>
      </w:r>
      <w:r>
        <w:rPr>
          <w:rFonts w:ascii="Times New Roman" w:hAnsi="Times New Roman"/>
          <w:b w:val="false"/>
          <w:i w:val="false"/>
          <w:color w:val="000000"/>
          <w:sz w:val="22"/>
        </w:rPr>
        <w:t>All motions except as provided in this subrule will be considered at the hearing. A timely motion to change the type of hearing (telephone or in-person) may be considered prior to the hearing. The workers’ compensation commissioner will make no rulings on discovery matters or motions.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2506.65(11)</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Hearing briefs, if any, must be filed with the agency before the date of the hearing and shall be limited to three pages.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2506.65(12)</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The hearing will be held by telephone, in person or by digital means in Des Moines, Iowa. The employer shall have the right to request an in-person hearing if the employee has requested a telephone hearing in the application. The employer shall on the record respond to the allegations contained in the application. The hearing will be electronically recorded. If there is an appeal of a proposed decision or judicial review of final agency action, the appealing party is responsible for filing a transcript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2506.65(13)</w:t>
      </w:r>
      <w:r>
        <w:rPr>
          <w:rFonts w:ascii="Times New Roman" w:hAnsi="Times New Roman"/>
          <w:b w:val="false"/>
          <w:i w:val="false"/>
          <w:color w:val="000000"/>
          <w:sz w:val="22"/>
        </w:rPr>
        <w:t> </w:t>
      </w:r>
      <w:r>
        <w:rPr>
          <w:rFonts w:ascii="Times New Roman" w:hAnsi="Times New Roman"/>
          <w:b w:val="false"/>
          <w:i/>
          <w:color w:val="000000"/>
          <w:sz w:val="22"/>
        </w:rPr>
        <w:t xml:space="preserve">Transcripts. </w:t>
      </w:r>
      <w:r>
        <w:rPr>
          <w:rFonts w:ascii="Times New Roman" w:hAnsi="Times New Roman"/>
          <w:b w:val="false"/>
          <w:i w:val="false"/>
          <w:color w:val="000000"/>
          <w:sz w:val="22"/>
        </w:rPr>
        <w:t xml:space="preserve">Copies of the recording will be provided to the parties upon notice of appeal. A transcript shall be provided by the appealing party pursuant to Iowa Code section </w:t>
      </w:r>
      <w:hyperlink r:id="rId9">
        <w:r>
          <w:rPr>
            <w:rStyle w:val="Hyperlink"/>
            <w:rFonts w:ascii="Times New Roman" w:hAnsi="Times New Roman"/>
            <w:b w:val="false"/>
            <w:i w:val="false"/>
            <w:color w:val="000000"/>
            <w:sz w:val="22"/>
          </w:rPr>
          <w:t>10A.321(4)</w:t>
        </w:r>
      </w:hyperlink>
      <w:r>
        <w:rPr>
          <w:rFonts w:ascii="Times New Roman" w:hAnsi="Times New Roman"/>
          <w:b w:val="false"/>
          <w:i w:val="false"/>
          <w:color w:val="000000"/>
          <w:sz w:val="22"/>
        </w:rPr>
        <w:t xml:space="preserve">, and a copy thereof shall be served on the opposing party at the time the transcript is filed with the workers’ compensation commissioner unless the parties submit an agreed-upon transcript. If a party disputes the accuracy of any transcript prepared by the opposing party, that party shall submit its contentions to the workers’ compensation commissioner for resolution. Any transcription charges incurred by the workers’ compensation commissioner in resolving the dispute shall be initially paid pursuant to Iowa Code section </w:t>
      </w:r>
      <w:hyperlink r:id="rId10">
        <w:r>
          <w:rPr>
            <w:rStyle w:val="Hyperlink"/>
            <w:rFonts w:ascii="Times New Roman" w:hAnsi="Times New Roman"/>
            <w:b w:val="false"/>
            <w:i w:val="false"/>
            <w:color w:val="000000"/>
            <w:sz w:val="22"/>
          </w:rPr>
          <w:t>10A.320(1)</w:t>
        </w:r>
      </w:hyperlink>
      <w:r>
        <w:rPr>
          <w:rFonts w:ascii="Times New Roman" w:hAnsi="Times New Roman"/>
          <w:b w:val="false"/>
          <w:i w:val="false"/>
          <w:color w:val="000000"/>
          <w:sz w:val="22"/>
        </w:rPr>
        <w:t xml:space="preserve"> by the party that disputes the accuracy of the transcript prepared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2506.65(14)</w:t>
      </w:r>
      <w:r>
        <w:rPr>
          <w:rFonts w:ascii="Times New Roman" w:hAnsi="Times New Roman"/>
          <w:b w:val="false"/>
          <w:i w:val="false"/>
          <w:color w:val="000000"/>
          <w:sz w:val="22"/>
        </w:rPr>
        <w:t> </w:t>
      </w:r>
      <w:r>
        <w:rPr>
          <w:rFonts w:ascii="Times New Roman" w:hAnsi="Times New Roman"/>
          <w:b w:val="false"/>
          <w:i/>
          <w:color w:val="000000"/>
          <w:sz w:val="22"/>
        </w:rPr>
        <w:t xml:space="preserve">Represented party. </w:t>
      </w:r>
      <w:r>
        <w:rPr>
          <w:rFonts w:ascii="Times New Roman" w:hAnsi="Times New Roman"/>
          <w:b w:val="false"/>
          <w:i w:val="false"/>
          <w:color w:val="000000"/>
          <w:sz w:val="22"/>
        </w:rPr>
        <w:t xml:space="preserve">A party may be represented as provided in Iowa Code section </w:t>
      </w:r>
      <w:hyperlink r:id="rId11">
        <w:r>
          <w:rPr>
            <w:rStyle w:val="Hyperlink"/>
            <w:rFonts w:ascii="Times New Roman" w:hAnsi="Times New Roman"/>
            <w:b w:val="false"/>
            <w:i w:val="false"/>
            <w:color w:val="000000"/>
            <w:sz w:val="22"/>
          </w:rPr>
          <w:t>631.14</w:t>
        </w:r>
      </w:hyperlink>
      <w:r>
        <w:rPr>
          <w:rFonts w:ascii="Times New Roman" w:hAnsi="Times New Roman"/>
          <w:b w:val="false"/>
          <w:i w:val="false"/>
          <w:color w:val="000000"/>
          <w:sz w:val="22"/>
        </w:rPr>
        <w:t>. The presiding deputy workers’ compensation commissioner may permit a party who is a natural person to be assisted during a hearing by any person who does so without cost to that party if the assistance promotes full and fair disclosure of the facts or otherwise enhances the conduct of the hearing. The employer and the employer’s insurance carrier shall be treated as one party unless their interests appear to be in conflict and a representative of either the employer or the employer’s insurance carrier shall be deemed to be a representative of both unless notice to the contrary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2506.65(15)</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decision will be issued within 10 working days of receipt of a proper application when a telephone hearing is held or within 14 working days of receipt of a proper application when an in-person hearing is held.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10A.318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5.27.pdf" Type="http://schemas.openxmlformats.org/officeDocument/2006/relationships/hyperlink" Id="rId4"/>
    <Relationship TargetMode="External" Target="https://www.legis.iowa.gov/docs/ico/chapter/85.27.pdf" Type="http://schemas.openxmlformats.org/officeDocument/2006/relationships/hyperlink" Id="rId5"/>
    <Relationship TargetMode="External" Target="https://www.legis.iowa.gov/docs/ico/chapter/87.11.pdf" Type="http://schemas.openxmlformats.org/officeDocument/2006/relationships/hyperlink" Id="rId6"/>
    <Relationship TargetMode="External" Target="https://www.legis.iowa.gov/docs/iac/rule/876.2506.38.pdf" Type="http://schemas.openxmlformats.org/officeDocument/2006/relationships/hyperlink" Id="rId7"/>
    <Relationship TargetMode="External" Target="https://www.legis.iowa.gov/docs/iac/rule/876.2506.32.pdf" Type="http://schemas.openxmlformats.org/officeDocument/2006/relationships/hyperlink" Id="rId8"/>
    <Relationship TargetMode="External" Target="https://www.legis.iowa.gov/docs/ico/chapter/10A.321.pdf" Type="http://schemas.openxmlformats.org/officeDocument/2006/relationships/hyperlink" Id="rId9"/>
    <Relationship TargetMode="External" Target="https://www.legis.iowa.gov/docs/ico/chapter/10A.320.pdf" Type="http://schemas.openxmlformats.org/officeDocument/2006/relationships/hyperlink" Id="rId10"/>
    <Relationship TargetMode="External" Target="https://www.legis.iowa.gov/docs/ico/chapter/631.14.pdf" Type="http://schemas.openxmlformats.org/officeDocument/2006/relationships/hyperlink" Id="rId11"/>
    <Relationship TargetMode="External" Target="https://www.legis.iowa.gov/docs/ico/chapter/10A.310.pdf" Type="http://schemas.openxmlformats.org/officeDocument/2006/relationships/hyperlink" Id="rId12"/>
    <Relationship TargetMode="External" Target="https://www.legis.iowa.gov/docs/ico/chapter/10A.318.pdf" Type="http://schemas.openxmlformats.org/officeDocument/2006/relationships/hyperlink" Id="rId13"/>
    <Relationship TargetMode="External" Target="https://www.legis.iowa.gov/docs/ico/chapter/17A.12.pdf" Type="http://schemas.openxmlformats.org/officeDocument/2006/relationships/hyperlink" Id="rId14"/>
    <Relationship TargetMode="External" Target="https://www.legis.iowa.gov/docs/ico/chapter/85.27.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