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876—2506.64</w:t>
      </w:r>
      <w:r>
        <w:rPr>
          <w:rFonts w:ascii="Times New Roman" w:hAnsi="Times New Roman"/>
          <w:b/>
          <w:i w:val="false"/>
          <w:color w:val="000000"/>
          <w:sz w:val="22"/>
        </w:rPr>
        <w:t xml:space="preserve">(10A,17A,85) </w:t>
      </w:r>
      <w:r>
        <w:rPr>
          <w:rFonts w:ascii="Times New Roman" w:hAnsi="Times New Roman"/>
          <w:b/>
          <w:i w:val="false"/>
          <w:color w:val="000000"/>
          <w:sz w:val="22"/>
        </w:rPr>
        <w:t xml:space="preserve">Contested case proceedings—health service disputes.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2506.64(1)</w:t>
      </w:r>
      <w:r>
        <w:rPr>
          <w:rFonts w:ascii="Times New Roman" w:hAnsi="Times New Roman"/>
          <w:b w:val="false"/>
          <w:i w:val="false"/>
          <w:color w:val="000000"/>
          <w:sz w:val="22"/>
        </w:rPr>
        <w:t> </w:t>
      </w:r>
      <w:r>
        <w:rPr>
          <w:rFonts w:ascii="Times New Roman" w:hAnsi="Times New Roman"/>
          <w:b w:val="false"/>
          <w:i w:val="false"/>
          <w:color w:val="000000"/>
          <w:sz w:val="22"/>
        </w:rPr>
        <w:t xml:space="preserve">More information about informal resolution procedures and definitions can be found in rule </w:t>
      </w:r>
      <w:hyperlink r:id="rId4">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 The following definition also applies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“Petitioning party”</w:t>
      </w:r>
      <w:r>
        <w:rPr>
          <w:rFonts w:ascii="Times New Roman" w:hAnsi="Times New Roman"/>
          <w:b w:val="false"/>
          <w:i w:val="false"/>
          <w:color w:val="000000"/>
          <w:sz w:val="22"/>
        </w:rPr>
        <w:t> </w:t>
      </w:r>
      <w:r>
        <w:rPr>
          <w:rFonts w:ascii="Times New Roman" w:hAnsi="Times New Roman"/>
          <w:b w:val="false"/>
          <w:i w:val="false"/>
          <w:color w:val="000000"/>
          <w:sz w:val="22"/>
        </w:rPr>
        <w:t>means the person who requests or initiates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2506.64(2)</w:t>
      </w:r>
      <w:r>
        <w:rPr>
          <w:rFonts w:ascii="Times New Roman" w:hAnsi="Times New Roman"/>
          <w:b w:val="false"/>
          <w:i w:val="false"/>
          <w:color w:val="000000"/>
          <w:sz w:val="22"/>
        </w:rPr>
        <w:t> </w:t>
      </w:r>
      <w:r>
        <w:rPr>
          <w:rFonts w:ascii="Times New Roman" w:hAnsi="Times New Roman"/>
          <w:b w:val="false"/>
          <w:i w:val="false"/>
          <w:color w:val="000000"/>
          <w:sz w:val="22"/>
        </w:rPr>
        <w:t xml:space="preserve">If utilization of the procedures given in rule </w:t>
      </w:r>
      <w:hyperlink r:id="rId5">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does not resolve the dispute and the parties have complied with the good faith requirements of rule </w:t>
      </w:r>
      <w:hyperlink r:id="rId6">
        <w:r>
          <w:rPr>
            <w:rStyle w:val="Hyperlink"/>
            <w:rFonts w:ascii="Times New Roman" w:hAnsi="Times New Roman"/>
            <w:b w:val="false"/>
            <w:i w:val="false"/>
            <w:color w:val="000000"/>
            <w:sz w:val="22"/>
          </w:rPr>
          <w:t>876—10.1</w:t>
        </w:r>
      </w:hyperlink>
      <w:r>
        <w:rPr>
          <w:rFonts w:ascii="Times New Roman" w:hAnsi="Times New Roman"/>
          <w:b w:val="false"/>
          <w:i w:val="false"/>
          <w:color w:val="000000"/>
          <w:sz w:val="22"/>
        </w:rPr>
        <w:t xml:space="preserve">(17A,85,86), a contested case may be initiated. The procedures given in rule </w:t>
      </w:r>
      <w:hyperlink r:id="rId7">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must be used prior to initiation of a contested case. The provider or the responsible party that is unwilling to accept the determination of the person making a determination after reviewing the dispute as provided in rule </w:t>
      </w:r>
      <w:hyperlink r:id="rId8">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shall initiate the contested case proceeding. The proceeding shall be initiated as provided in this chapter and Iowa Code chapter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shall follow the provisions of this rule. The proceeding must be initiated within 30 days of the date of the determination made pursuant to rule </w:t>
      </w:r>
      <w:hyperlink r:id="rId10">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If a contested case proceeding is not initiated or is not initiated within the time provided in this rule, the allowed amount of the charge by the provider shall be the amount determined pursuant to rule </w:t>
      </w:r>
      <w:hyperlink r:id="rId11">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2506.64(3)</w:t>
      </w:r>
      <w:r>
        <w:rPr>
          <w:rFonts w:ascii="Times New Roman" w:hAnsi="Times New Roman"/>
          <w:b w:val="false"/>
          <w:i w:val="false"/>
          <w:color w:val="000000"/>
          <w:sz w:val="22"/>
        </w:rPr>
        <w:t> </w:t>
      </w:r>
      <w:r>
        <w:rPr>
          <w:rFonts w:ascii="Times New Roman" w:hAnsi="Times New Roman"/>
          <w:b w:val="false"/>
          <w:i w:val="false"/>
          <w:color w:val="000000"/>
          <w:sz w:val="22"/>
        </w:rPr>
        <w:t xml:space="preserve">The evidence submitted in the contested case proceeding shall be limited to the evidence submitted pursuant to rule </w:t>
      </w:r>
      <w:hyperlink r:id="rId12">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and a copy of the determination made pursuant to rule </w:t>
      </w:r>
      <w:hyperlink r:id="rId13">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This evidence shall be filed by the party requesting the contested case proceeding at the time the contested case proceeding is initiated. However, the workers’ compensation commissioner may request that additional evidence be submitted or may grant submission of additional evidence if the workers’ compensation commissioner is satisfied that there exists additional material evidence, newly discovered, which could not with reasonable diligence be discovered and produced pursuant to rule </w:t>
      </w:r>
      <w:hyperlink r:id="rId14">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 xml:space="preserve">(17A,85,86). The issues of the contested case proceeding shall be limited to the dispute considered in rule </w:t>
      </w:r>
      <w:hyperlink r:id="rId15">
        <w:r>
          <w:rPr>
            <w:rStyle w:val="Hyperlink"/>
            <w:rFonts w:ascii="Times New Roman" w:hAnsi="Times New Roman"/>
            <w:b w:val="false"/>
            <w:i w:val="false"/>
            <w:color w:val="000000"/>
            <w:sz w:val="22"/>
          </w:rPr>
          <w:t>876—10.3</w:t>
        </w:r>
      </w:hyperlink>
      <w:r>
        <w:rPr>
          <w:rFonts w:ascii="Times New Roman" w:hAnsi="Times New Roman"/>
          <w:b w:val="false"/>
          <w:i w:val="false"/>
          <w:color w:val="000000"/>
          <w:sz w:val="22"/>
        </w:rPr>
        <w:t>(17A,85,86).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2506.64(4)</w:t>
      </w:r>
      <w:r>
        <w:rPr>
          <w:rFonts w:ascii="Times New Roman" w:hAnsi="Times New Roman"/>
          <w:b w:val="false"/>
          <w:i w:val="false"/>
          <w:color w:val="000000"/>
          <w:sz w:val="22"/>
        </w:rPr>
        <w:t> </w:t>
      </w:r>
      <w:r>
        <w:rPr>
          <w:rFonts w:ascii="Times New Roman" w:hAnsi="Times New Roman"/>
          <w:b w:val="false"/>
          <w:i w:val="false"/>
          <w:color w:val="000000"/>
          <w:sz w:val="22"/>
        </w:rPr>
        <w:t>The petitioning party has the burden of proof.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2506.64(5)</w:t>
      </w:r>
      <w:r>
        <w:rPr>
          <w:rFonts w:ascii="Times New Roman" w:hAnsi="Times New Roman"/>
          <w:b w:val="false"/>
          <w:i w:val="false"/>
          <w:color w:val="000000"/>
          <w:sz w:val="22"/>
        </w:rPr>
        <w:t> </w:t>
      </w:r>
      <w:r>
        <w:rPr>
          <w:rFonts w:ascii="Times New Roman" w:hAnsi="Times New Roman"/>
          <w:b w:val="false"/>
          <w:i w:val="false"/>
          <w:color w:val="000000"/>
          <w:sz w:val="22"/>
        </w:rPr>
        <w:t>If the petitioning party wishes to file a brief, the brief must be filed with the request for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2506.64(6)</w:t>
      </w:r>
      <w:r>
        <w:rPr>
          <w:rFonts w:ascii="Times New Roman" w:hAnsi="Times New Roman"/>
          <w:b w:val="false"/>
          <w:i w:val="false"/>
          <w:color w:val="000000"/>
          <w:sz w:val="22"/>
        </w:rPr>
        <w:t> </w:t>
      </w:r>
      <w:r>
        <w:rPr>
          <w:rFonts w:ascii="Times New Roman" w:hAnsi="Times New Roman"/>
          <w:b w:val="false"/>
          <w:i w:val="false"/>
          <w:color w:val="000000"/>
          <w:sz w:val="22"/>
        </w:rPr>
        <w:t>The opposing party must file a response within 30 days of the date of service of the request for a contested case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2506.64(7)</w:t>
      </w:r>
      <w:r>
        <w:rPr>
          <w:rFonts w:ascii="Times New Roman" w:hAnsi="Times New Roman"/>
          <w:b w:val="false"/>
          <w:i w:val="false"/>
          <w:color w:val="000000"/>
          <w:sz w:val="22"/>
        </w:rPr>
        <w:t> </w:t>
      </w:r>
      <w:r>
        <w:rPr>
          <w:rFonts w:ascii="Times New Roman" w:hAnsi="Times New Roman"/>
          <w:b w:val="false"/>
          <w:i w:val="false"/>
          <w:color w:val="000000"/>
          <w:sz w:val="22"/>
        </w:rPr>
        <w:t>If the opposing party wishes to file a brief, the brief must be filed with the response.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2506.64(8)</w:t>
      </w:r>
      <w:r>
        <w:rPr>
          <w:rFonts w:ascii="Times New Roman" w:hAnsi="Times New Roman"/>
          <w:b w:val="false"/>
          <w:i w:val="false"/>
          <w:color w:val="000000"/>
          <w:sz w:val="22"/>
        </w:rPr>
        <w:t> </w:t>
      </w:r>
      <w:r>
        <w:rPr>
          <w:rFonts w:ascii="Times New Roman" w:hAnsi="Times New Roman"/>
          <w:b w:val="false"/>
          <w:i w:val="false"/>
          <w:color w:val="000000"/>
          <w:sz w:val="22"/>
        </w:rPr>
        <w:t>Sixty days after the request for a contested case is filed with the workers’ compensation commissioner, the workers’ compensation commissioner will review the matter. The notice of the review to the parties shall meet the provisions of this rule and no other notice will be given.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2506.64(9)</w:t>
      </w:r>
      <w:r>
        <w:rPr>
          <w:rFonts w:ascii="Times New Roman" w:hAnsi="Times New Roman"/>
          <w:b w:val="false"/>
          <w:i w:val="false"/>
          <w:color w:val="000000"/>
          <w:sz w:val="22"/>
        </w:rPr>
        <w:t> </w:t>
      </w:r>
      <w:r>
        <w:rPr>
          <w:rFonts w:ascii="Times New Roman" w:hAnsi="Times New Roman"/>
          <w:b w:val="false"/>
          <w:i w:val="false"/>
          <w:color w:val="000000"/>
          <w:sz w:val="22"/>
        </w:rPr>
        <w:t xml:space="preserve">The workers’ compensation commissioner shall review the matter and make a decision as soon as practicable after the review. The decision shall be as provided in this chapter and Iowa Code chapter </w:t>
      </w:r>
      <w:hyperlink r:id="rId1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10A.327</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85.27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2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10.3.pdf" Type="http://schemas.openxmlformats.org/officeDocument/2006/relationships/hyperlink" Id="rId4"/>
    <Relationship TargetMode="External" Target="https://www.legis.iowa.gov/docs/iac/rule/876.10.3.pdf" Type="http://schemas.openxmlformats.org/officeDocument/2006/relationships/hyperlink" Id="rId5"/>
    <Relationship TargetMode="External" Target="https://www.legis.iowa.gov/docs/iac/rule/876.10.1.pdf" Type="http://schemas.openxmlformats.org/officeDocument/2006/relationships/hyperlink" Id="rId6"/>
    <Relationship TargetMode="External" Target="https://www.legis.iowa.gov/docs/iac/rule/876.10.3.pdf" Type="http://schemas.openxmlformats.org/officeDocument/2006/relationships/hyperlink" Id="rId7"/>
    <Relationship TargetMode="External" Target="https://www.legis.iowa.gov/docs/iac/rule/876.10.3.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ac/rule/876.10.3.pdf" Type="http://schemas.openxmlformats.org/officeDocument/2006/relationships/hyperlink" Id="rId10"/>
    <Relationship TargetMode="External" Target="https://www.legis.iowa.gov/docs/iac/rule/876.10.3.pdf" Type="http://schemas.openxmlformats.org/officeDocument/2006/relationships/hyperlink" Id="rId11"/>
    <Relationship TargetMode="External" Target="https://www.legis.iowa.gov/docs/iac/rule/876.10.3.pdf" Type="http://schemas.openxmlformats.org/officeDocument/2006/relationships/hyperlink" Id="rId12"/>
    <Relationship TargetMode="External" Target="https://www.legis.iowa.gov/docs/iac/rule/876.10.3.pdf" Type="http://schemas.openxmlformats.org/officeDocument/2006/relationships/hyperlink" Id="rId13"/>
    <Relationship TargetMode="External" Target="https://www.legis.iowa.gov/docs/iac/rule/876.10.3.pdf" Type="http://schemas.openxmlformats.org/officeDocument/2006/relationships/hyperlink" Id="rId14"/>
    <Relationship TargetMode="External" Target="https://www.legis.iowa.gov/docs/iac/rule/876.10.3.pdf" Type="http://schemas.openxmlformats.org/officeDocument/2006/relationships/hyperlink" Id="rId15"/>
    <Relationship TargetMode="External" Target="https://www.legis.iowa.gov/docs/ico/chapter/17A.pdf" Type="http://schemas.openxmlformats.org/officeDocument/2006/relationships/hyperlink" Id="rId16"/>
    <Relationship TargetMode="External" Target="https://www.legis.iowa.gov/docs/ico/chapter/10A.310.pdf" Type="http://schemas.openxmlformats.org/officeDocument/2006/relationships/hyperlink" Id="rId17"/>
    <Relationship TargetMode="External" Target="https://www.legis.iowa.gov/docs/ico/chapter/10A.327.pdf" Type="http://schemas.openxmlformats.org/officeDocument/2006/relationships/hyperlink" Id="rId18"/>
    <Relationship TargetMode="External" Target="https://www.legis.iowa.gov/docs/ico/chapter/17A.10.pdf" Type="http://schemas.openxmlformats.org/officeDocument/2006/relationships/hyperlink" Id="rId19"/>
    <Relationship TargetMode="External" Target="https://www.legis.iowa.gov/docs/ico/chapter/17A.12.pdf" Type="http://schemas.openxmlformats.org/officeDocument/2006/relationships/hyperlink" Id="rId20"/>
    <Relationship TargetMode="External" Target="https://www.legis.iowa.gov/docs/ico/chapter/17A.14.pdf" Type="http://schemas.openxmlformats.org/officeDocument/2006/relationships/hyperlink" Id="rId21"/>
    <Relationship TargetMode="External" Target="https://www.legis.iowa.gov/docs/ico/chapter/85.27.pdf" Type="http://schemas.openxmlformats.org/officeDocument/2006/relationships/hyperlink" Id="rId22"/>
    <Relationship Target="footer.xml" Type="http://schemas.openxmlformats.org/officeDocument/2006/relationships/footer"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